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DE9DB" w14:textId="77777777" w:rsidR="006A315F" w:rsidRPr="006A315F" w:rsidRDefault="006A315F" w:rsidP="006A315F">
      <w:pPr>
        <w:pStyle w:val="BodyText"/>
        <w:spacing w:before="1120" w:after="1120"/>
        <w:jc w:val="center"/>
        <w:rPr>
          <w:b/>
          <w:sz w:val="28"/>
        </w:rPr>
      </w:pPr>
      <w:r w:rsidRPr="006A315F">
        <w:rPr>
          <w:b/>
          <w:sz w:val="28"/>
        </w:rPr>
        <w:t>VAREX IMAGING CORPORATION</w:t>
      </w:r>
    </w:p>
    <w:p w14:paraId="42B17D5B" w14:textId="77777777" w:rsidR="006A315F" w:rsidRDefault="006A315F" w:rsidP="006A315F">
      <w:pPr>
        <w:pStyle w:val="BodyText"/>
        <w:jc w:val="center"/>
        <w:rPr>
          <w:b/>
          <w:sz w:val="28"/>
        </w:rPr>
      </w:pPr>
      <w:r w:rsidRPr="006A315F">
        <w:rPr>
          <w:b/>
          <w:sz w:val="28"/>
        </w:rPr>
        <w:t>CORPORATE GOVERNANCE GUIDELINES</w:t>
      </w:r>
    </w:p>
    <w:p w14:paraId="2E22DD35" w14:textId="4A662086" w:rsidR="0073027B" w:rsidRPr="0073027B" w:rsidRDefault="0073027B" w:rsidP="006A315F">
      <w:pPr>
        <w:pStyle w:val="BodyText"/>
        <w:jc w:val="center"/>
        <w:rPr>
          <w:sz w:val="28"/>
        </w:rPr>
      </w:pPr>
      <w:r w:rsidRPr="0073027B">
        <w:rPr>
          <w:sz w:val="28"/>
        </w:rPr>
        <w:t xml:space="preserve">(as of </w:t>
      </w:r>
      <w:r w:rsidR="00A01A34">
        <w:rPr>
          <w:sz w:val="28"/>
        </w:rPr>
        <w:t>August 17</w:t>
      </w:r>
      <w:r>
        <w:rPr>
          <w:sz w:val="28"/>
        </w:rPr>
        <w:t xml:space="preserve">, </w:t>
      </w:r>
      <w:r w:rsidRPr="0073027B">
        <w:rPr>
          <w:sz w:val="28"/>
        </w:rPr>
        <w:t>20</w:t>
      </w:r>
      <w:r w:rsidR="00941D41">
        <w:rPr>
          <w:sz w:val="28"/>
        </w:rPr>
        <w:t>2</w:t>
      </w:r>
      <w:r w:rsidR="001C3424">
        <w:rPr>
          <w:sz w:val="28"/>
        </w:rPr>
        <w:t>4</w:t>
      </w:r>
      <w:r w:rsidRPr="0073027B">
        <w:rPr>
          <w:sz w:val="28"/>
        </w:rPr>
        <w:t>)</w:t>
      </w:r>
    </w:p>
    <w:p w14:paraId="0A8D093B" w14:textId="77777777" w:rsidR="006A315F" w:rsidRDefault="006A315F" w:rsidP="00910646">
      <w:pPr>
        <w:pStyle w:val="BodyText"/>
        <w:sectPr w:rsidR="006A315F" w:rsidSect="00975F1B">
          <w:footerReference w:type="default" r:id="rId8"/>
          <w:footerReference w:type="first" r:id="rId9"/>
          <w:pgSz w:w="12240" w:h="15840" w:code="1"/>
          <w:pgMar w:top="1440" w:right="1440" w:bottom="1440" w:left="1440" w:header="720" w:footer="720" w:gutter="0"/>
          <w:pgNumType w:start="1"/>
          <w:cols w:space="720"/>
          <w:titlePg/>
          <w:docGrid w:linePitch="360"/>
        </w:sectPr>
      </w:pPr>
    </w:p>
    <w:p w14:paraId="5FA7E124" w14:textId="77777777" w:rsidR="00E871FB" w:rsidRDefault="006A315F" w:rsidP="006A315F">
      <w:pPr>
        <w:spacing w:after="240"/>
        <w:jc w:val="center"/>
        <w:rPr>
          <w:b/>
        </w:rPr>
      </w:pPr>
      <w:r w:rsidRPr="006A315F">
        <w:rPr>
          <w:b/>
        </w:rPr>
        <w:lastRenderedPageBreak/>
        <w:t>VAREX IMAGING CORPORATION</w:t>
      </w:r>
    </w:p>
    <w:p w14:paraId="46751192" w14:textId="77777777" w:rsidR="006A315F" w:rsidRDefault="006A315F" w:rsidP="006A315F">
      <w:pPr>
        <w:spacing w:after="240"/>
        <w:jc w:val="center"/>
        <w:rPr>
          <w:b/>
        </w:rPr>
      </w:pPr>
      <w:r w:rsidRPr="006A315F">
        <w:rPr>
          <w:b/>
        </w:rPr>
        <w:t>CORPORATE GOVERNANCE GUIDELINES</w:t>
      </w:r>
    </w:p>
    <w:p w14:paraId="142FF2AC" w14:textId="09EF6DD8" w:rsidR="0073027B" w:rsidRPr="006A315F" w:rsidRDefault="0073027B" w:rsidP="006A315F">
      <w:pPr>
        <w:spacing w:after="240"/>
        <w:jc w:val="center"/>
        <w:rPr>
          <w:b/>
        </w:rPr>
      </w:pPr>
      <w:r w:rsidRPr="0073027B">
        <w:rPr>
          <w:sz w:val="28"/>
        </w:rPr>
        <w:t xml:space="preserve">(as of </w:t>
      </w:r>
      <w:r w:rsidR="00A01A34">
        <w:rPr>
          <w:sz w:val="28"/>
        </w:rPr>
        <w:t>August 17</w:t>
      </w:r>
      <w:r>
        <w:rPr>
          <w:sz w:val="28"/>
        </w:rPr>
        <w:t xml:space="preserve">, </w:t>
      </w:r>
      <w:r w:rsidRPr="0073027B">
        <w:rPr>
          <w:sz w:val="28"/>
        </w:rPr>
        <w:t>20</w:t>
      </w:r>
      <w:r w:rsidR="00C26DEE">
        <w:rPr>
          <w:sz w:val="28"/>
        </w:rPr>
        <w:t>2</w:t>
      </w:r>
      <w:r w:rsidR="001C3424">
        <w:rPr>
          <w:sz w:val="28"/>
        </w:rPr>
        <w:t>4</w:t>
      </w:r>
      <w:r w:rsidRPr="0073027B">
        <w:rPr>
          <w:sz w:val="28"/>
        </w:rPr>
        <w:t>)</w:t>
      </w:r>
    </w:p>
    <w:p w14:paraId="0E7D61CA" w14:textId="77777777" w:rsidR="006A315F" w:rsidRPr="00E871FB" w:rsidRDefault="006A315F" w:rsidP="006D14CD">
      <w:pPr>
        <w:spacing w:after="120"/>
        <w:jc w:val="center"/>
        <w:rPr>
          <w:b/>
          <w:u w:val="single"/>
        </w:rPr>
      </w:pPr>
      <w:r w:rsidRPr="00E871FB">
        <w:rPr>
          <w:b/>
          <w:u w:val="single"/>
        </w:rPr>
        <w:t>TABLE OF CONTENTS</w:t>
      </w:r>
    </w:p>
    <w:p w14:paraId="7B1D49C9" w14:textId="77777777" w:rsidR="006A315F" w:rsidRDefault="006A315F" w:rsidP="006D14CD">
      <w:pPr>
        <w:spacing w:after="240"/>
        <w:jc w:val="right"/>
        <w:rPr>
          <w:b/>
          <w:u w:val="single"/>
        </w:rPr>
      </w:pPr>
      <w:r w:rsidRPr="006A315F">
        <w:rPr>
          <w:b/>
          <w:u w:val="single"/>
        </w:rPr>
        <w:t>Page</w:t>
      </w:r>
    </w:p>
    <w:p w14:paraId="2DA4A832" w14:textId="721CE1C2" w:rsidR="006D14CD" w:rsidRPr="006D14CD" w:rsidRDefault="006D14CD" w:rsidP="006D14CD">
      <w:pPr>
        <w:pStyle w:val="TOC1"/>
        <w:rPr>
          <w:rFonts w:eastAsiaTheme="minorEastAsia"/>
          <w:noProof/>
        </w:rPr>
      </w:pPr>
      <w:r>
        <w:fldChar w:fldCharType="begin"/>
      </w:r>
      <w:r>
        <w:instrText xml:space="preserve"> TOC \t "Heading 1,1" </w:instrText>
      </w:r>
      <w:r>
        <w:fldChar w:fldCharType="separate"/>
      </w:r>
      <w:bookmarkStart w:id="1" w:name="TOCLocation"/>
      <w:r w:rsidRPr="006D14CD">
        <w:rPr>
          <w:noProof/>
        </w:rPr>
        <w:t>1.</w:t>
      </w:r>
      <w:r w:rsidRPr="006D14CD">
        <w:rPr>
          <w:rFonts w:eastAsiaTheme="minorEastAsia"/>
          <w:noProof/>
        </w:rPr>
        <w:tab/>
      </w:r>
      <w:r w:rsidRPr="006D14CD">
        <w:rPr>
          <w:noProof/>
        </w:rPr>
        <w:t>Role of the Board and Management</w:t>
      </w:r>
      <w:r w:rsidRPr="006D14CD">
        <w:rPr>
          <w:noProof/>
        </w:rPr>
        <w:tab/>
      </w:r>
      <w:r w:rsidR="00C26DEE">
        <w:rPr>
          <w:noProof/>
        </w:rPr>
        <w:t>1</w:t>
      </w:r>
    </w:p>
    <w:p w14:paraId="20D54987" w14:textId="62269465" w:rsidR="006D14CD" w:rsidRPr="006D14CD" w:rsidRDefault="006D14CD" w:rsidP="006D14CD">
      <w:pPr>
        <w:pStyle w:val="TOC1"/>
        <w:rPr>
          <w:rFonts w:eastAsiaTheme="minorEastAsia"/>
          <w:noProof/>
        </w:rPr>
      </w:pPr>
      <w:r w:rsidRPr="006D14CD">
        <w:rPr>
          <w:noProof/>
        </w:rPr>
        <w:t>2.</w:t>
      </w:r>
      <w:r w:rsidRPr="006D14CD">
        <w:rPr>
          <w:rFonts w:eastAsiaTheme="minorEastAsia"/>
          <w:noProof/>
        </w:rPr>
        <w:tab/>
      </w:r>
      <w:r w:rsidRPr="006D14CD">
        <w:rPr>
          <w:noProof/>
        </w:rPr>
        <w:t xml:space="preserve">Selection of </w:t>
      </w:r>
      <w:r w:rsidR="00181FEE">
        <w:rPr>
          <w:noProof/>
        </w:rPr>
        <w:t>Chair</w:t>
      </w:r>
      <w:r w:rsidRPr="006D14CD">
        <w:rPr>
          <w:noProof/>
        </w:rPr>
        <w:t>, CEO, and Lead Director</w:t>
      </w:r>
      <w:r w:rsidRPr="006D14CD">
        <w:rPr>
          <w:noProof/>
        </w:rPr>
        <w:tab/>
      </w:r>
      <w:r w:rsidR="00C26DEE">
        <w:rPr>
          <w:noProof/>
        </w:rPr>
        <w:t>1</w:t>
      </w:r>
    </w:p>
    <w:p w14:paraId="31727ED6" w14:textId="20C3770B" w:rsidR="006D14CD" w:rsidRPr="006D14CD" w:rsidRDefault="006D14CD" w:rsidP="006D14CD">
      <w:pPr>
        <w:pStyle w:val="TOC1"/>
        <w:rPr>
          <w:rFonts w:eastAsiaTheme="minorEastAsia"/>
          <w:noProof/>
        </w:rPr>
      </w:pPr>
      <w:r w:rsidRPr="006D14CD">
        <w:rPr>
          <w:noProof/>
        </w:rPr>
        <w:t>3.</w:t>
      </w:r>
      <w:r w:rsidRPr="006D14CD">
        <w:rPr>
          <w:rFonts w:eastAsiaTheme="minorEastAsia"/>
          <w:noProof/>
        </w:rPr>
        <w:tab/>
      </w:r>
      <w:r w:rsidRPr="006D14CD">
        <w:rPr>
          <w:noProof/>
        </w:rPr>
        <w:t>Number of Committees</w:t>
      </w:r>
      <w:r w:rsidRPr="006D14CD">
        <w:rPr>
          <w:noProof/>
        </w:rPr>
        <w:tab/>
      </w:r>
      <w:r w:rsidR="00C26DEE">
        <w:rPr>
          <w:noProof/>
        </w:rPr>
        <w:t>1</w:t>
      </w:r>
    </w:p>
    <w:p w14:paraId="10789377" w14:textId="3F0EDCFC" w:rsidR="006D14CD" w:rsidRPr="006D14CD" w:rsidRDefault="006D14CD" w:rsidP="006D14CD">
      <w:pPr>
        <w:pStyle w:val="TOC1"/>
        <w:rPr>
          <w:rFonts w:eastAsiaTheme="minorEastAsia"/>
          <w:noProof/>
        </w:rPr>
      </w:pPr>
      <w:r w:rsidRPr="006D14CD">
        <w:rPr>
          <w:noProof/>
        </w:rPr>
        <w:t>4.</w:t>
      </w:r>
      <w:r w:rsidRPr="006D14CD">
        <w:rPr>
          <w:rFonts w:eastAsiaTheme="minorEastAsia"/>
          <w:noProof/>
        </w:rPr>
        <w:tab/>
      </w:r>
      <w:r w:rsidRPr="006D14CD">
        <w:rPr>
          <w:noProof/>
        </w:rPr>
        <w:t>Assignment and Rotation of Committee Members</w:t>
      </w:r>
      <w:r w:rsidRPr="006D14CD">
        <w:rPr>
          <w:noProof/>
        </w:rPr>
        <w:tab/>
      </w:r>
      <w:r w:rsidR="00C26DEE">
        <w:rPr>
          <w:noProof/>
        </w:rPr>
        <w:t>1</w:t>
      </w:r>
    </w:p>
    <w:p w14:paraId="7CBDE6C9" w14:textId="6F4FAB04" w:rsidR="006D14CD" w:rsidRPr="006D14CD" w:rsidRDefault="006D14CD" w:rsidP="006D14CD">
      <w:pPr>
        <w:pStyle w:val="TOC1"/>
        <w:rPr>
          <w:rFonts w:eastAsiaTheme="minorEastAsia"/>
          <w:noProof/>
        </w:rPr>
      </w:pPr>
      <w:r w:rsidRPr="006D14CD">
        <w:rPr>
          <w:noProof/>
        </w:rPr>
        <w:t>5.</w:t>
      </w:r>
      <w:r w:rsidRPr="006D14CD">
        <w:rPr>
          <w:rFonts w:eastAsiaTheme="minorEastAsia"/>
          <w:noProof/>
        </w:rPr>
        <w:tab/>
      </w:r>
      <w:r w:rsidRPr="006D14CD">
        <w:rPr>
          <w:noProof/>
        </w:rPr>
        <w:t>Committee Agenda</w:t>
      </w:r>
      <w:r w:rsidRPr="006D14CD">
        <w:rPr>
          <w:noProof/>
        </w:rPr>
        <w:tab/>
      </w:r>
      <w:r w:rsidR="00827754">
        <w:rPr>
          <w:noProof/>
        </w:rPr>
        <w:t>2</w:t>
      </w:r>
    </w:p>
    <w:p w14:paraId="1C4BB3D1" w14:textId="0F597BE9" w:rsidR="006D14CD" w:rsidRPr="006D14CD" w:rsidRDefault="006D14CD" w:rsidP="006D14CD">
      <w:pPr>
        <w:pStyle w:val="TOC1"/>
        <w:rPr>
          <w:rFonts w:eastAsiaTheme="minorEastAsia"/>
          <w:noProof/>
        </w:rPr>
      </w:pPr>
      <w:r w:rsidRPr="006D14CD">
        <w:rPr>
          <w:noProof/>
        </w:rPr>
        <w:t>6.</w:t>
      </w:r>
      <w:r w:rsidRPr="006D14CD">
        <w:rPr>
          <w:rFonts w:eastAsiaTheme="minorEastAsia"/>
          <w:noProof/>
        </w:rPr>
        <w:tab/>
      </w:r>
      <w:r w:rsidRPr="006D14CD">
        <w:rPr>
          <w:noProof/>
        </w:rPr>
        <w:t>Selection of Agenda Items for Board Meetings</w:t>
      </w:r>
      <w:r w:rsidRPr="006D14CD">
        <w:rPr>
          <w:noProof/>
        </w:rPr>
        <w:tab/>
      </w:r>
      <w:r w:rsidR="00827754">
        <w:rPr>
          <w:noProof/>
        </w:rPr>
        <w:t>2</w:t>
      </w:r>
    </w:p>
    <w:p w14:paraId="1F3E2A13" w14:textId="05AA7376" w:rsidR="006D14CD" w:rsidRPr="006D14CD" w:rsidRDefault="006D14CD" w:rsidP="006D14CD">
      <w:pPr>
        <w:pStyle w:val="TOC1"/>
        <w:rPr>
          <w:rFonts w:eastAsiaTheme="minorEastAsia"/>
          <w:noProof/>
        </w:rPr>
      </w:pPr>
      <w:r w:rsidRPr="006D14CD">
        <w:rPr>
          <w:noProof/>
        </w:rPr>
        <w:t>7.</w:t>
      </w:r>
      <w:r w:rsidRPr="006D14CD">
        <w:rPr>
          <w:rFonts w:eastAsiaTheme="minorEastAsia"/>
          <w:noProof/>
        </w:rPr>
        <w:tab/>
      </w:r>
      <w:r w:rsidRPr="006D14CD">
        <w:rPr>
          <w:noProof/>
        </w:rPr>
        <w:t>Board Materials Distributed in Advance</w:t>
      </w:r>
      <w:r w:rsidRPr="006D14CD">
        <w:rPr>
          <w:noProof/>
        </w:rPr>
        <w:tab/>
      </w:r>
      <w:r w:rsidR="00827754">
        <w:rPr>
          <w:noProof/>
        </w:rPr>
        <w:t>2</w:t>
      </w:r>
    </w:p>
    <w:p w14:paraId="2EE0E9E1" w14:textId="7106FA7A" w:rsidR="006D14CD" w:rsidRPr="006D14CD" w:rsidRDefault="006D14CD" w:rsidP="006D14CD">
      <w:pPr>
        <w:pStyle w:val="TOC1"/>
        <w:rPr>
          <w:rFonts w:eastAsiaTheme="minorEastAsia"/>
          <w:noProof/>
        </w:rPr>
      </w:pPr>
      <w:r w:rsidRPr="006D14CD">
        <w:rPr>
          <w:noProof/>
        </w:rPr>
        <w:t>8.</w:t>
      </w:r>
      <w:r w:rsidRPr="006D14CD">
        <w:rPr>
          <w:rFonts w:eastAsiaTheme="minorEastAsia"/>
          <w:noProof/>
        </w:rPr>
        <w:tab/>
      </w:r>
      <w:r w:rsidRPr="006D14CD">
        <w:rPr>
          <w:noProof/>
        </w:rPr>
        <w:t>Regular Attendance of Non-Directors at Board Meetings</w:t>
      </w:r>
      <w:r w:rsidRPr="006D14CD">
        <w:rPr>
          <w:noProof/>
        </w:rPr>
        <w:tab/>
      </w:r>
      <w:r w:rsidR="00827754">
        <w:rPr>
          <w:noProof/>
        </w:rPr>
        <w:t>3</w:t>
      </w:r>
    </w:p>
    <w:p w14:paraId="05792174" w14:textId="720FE5DC" w:rsidR="006D14CD" w:rsidRPr="006D14CD" w:rsidRDefault="006D14CD" w:rsidP="006D14CD">
      <w:pPr>
        <w:pStyle w:val="TOC1"/>
        <w:rPr>
          <w:rFonts w:eastAsiaTheme="minorEastAsia"/>
          <w:noProof/>
        </w:rPr>
      </w:pPr>
      <w:r w:rsidRPr="006D14CD">
        <w:rPr>
          <w:noProof/>
        </w:rPr>
        <w:t>9.</w:t>
      </w:r>
      <w:r w:rsidRPr="006D14CD">
        <w:rPr>
          <w:rFonts w:eastAsiaTheme="minorEastAsia"/>
          <w:noProof/>
        </w:rPr>
        <w:tab/>
      </w:r>
      <w:r w:rsidRPr="006D14CD">
        <w:rPr>
          <w:noProof/>
        </w:rPr>
        <w:t>Executive Sessions of the Board</w:t>
      </w:r>
      <w:r w:rsidRPr="006D14CD">
        <w:rPr>
          <w:noProof/>
        </w:rPr>
        <w:tab/>
      </w:r>
      <w:r w:rsidR="00827754">
        <w:rPr>
          <w:noProof/>
        </w:rPr>
        <w:t>3</w:t>
      </w:r>
    </w:p>
    <w:p w14:paraId="130501E9" w14:textId="36569CCD" w:rsidR="006D14CD" w:rsidRPr="006D14CD" w:rsidRDefault="006D14CD" w:rsidP="006D14CD">
      <w:pPr>
        <w:pStyle w:val="TOC1"/>
        <w:rPr>
          <w:rFonts w:eastAsiaTheme="minorEastAsia"/>
          <w:noProof/>
        </w:rPr>
      </w:pPr>
      <w:r w:rsidRPr="006D14CD">
        <w:rPr>
          <w:noProof/>
        </w:rPr>
        <w:t>10.</w:t>
      </w:r>
      <w:r w:rsidRPr="006D14CD">
        <w:rPr>
          <w:rFonts w:eastAsiaTheme="minorEastAsia"/>
          <w:noProof/>
        </w:rPr>
        <w:tab/>
      </w:r>
      <w:r w:rsidRPr="006D14CD">
        <w:rPr>
          <w:noProof/>
        </w:rPr>
        <w:t>Board Access to Senior Management</w:t>
      </w:r>
      <w:r w:rsidRPr="006D14CD">
        <w:rPr>
          <w:noProof/>
        </w:rPr>
        <w:tab/>
      </w:r>
      <w:r w:rsidR="00827754">
        <w:rPr>
          <w:noProof/>
        </w:rPr>
        <w:t>3</w:t>
      </w:r>
    </w:p>
    <w:p w14:paraId="422705E9" w14:textId="163935B9" w:rsidR="006D14CD" w:rsidRPr="006D14CD" w:rsidRDefault="006D14CD" w:rsidP="006D14CD">
      <w:pPr>
        <w:pStyle w:val="TOC1"/>
        <w:rPr>
          <w:rFonts w:eastAsiaTheme="minorEastAsia"/>
          <w:noProof/>
        </w:rPr>
      </w:pPr>
      <w:r w:rsidRPr="006D14CD">
        <w:rPr>
          <w:noProof/>
        </w:rPr>
        <w:t>11.</w:t>
      </w:r>
      <w:r w:rsidRPr="006D14CD">
        <w:rPr>
          <w:rFonts w:eastAsiaTheme="minorEastAsia"/>
          <w:noProof/>
        </w:rPr>
        <w:tab/>
      </w:r>
      <w:r w:rsidRPr="006D14CD">
        <w:rPr>
          <w:noProof/>
        </w:rPr>
        <w:t>Board Compensation Review</w:t>
      </w:r>
      <w:r w:rsidRPr="006D14CD">
        <w:rPr>
          <w:noProof/>
        </w:rPr>
        <w:tab/>
      </w:r>
      <w:r w:rsidR="00827754">
        <w:rPr>
          <w:noProof/>
        </w:rPr>
        <w:t>3</w:t>
      </w:r>
    </w:p>
    <w:p w14:paraId="6E1A934F" w14:textId="78E32D9D" w:rsidR="006D14CD" w:rsidRPr="006D14CD" w:rsidRDefault="006D14CD" w:rsidP="006D14CD">
      <w:pPr>
        <w:pStyle w:val="TOC1"/>
        <w:rPr>
          <w:rFonts w:eastAsiaTheme="minorEastAsia"/>
          <w:noProof/>
        </w:rPr>
      </w:pPr>
      <w:r w:rsidRPr="006D14CD">
        <w:rPr>
          <w:noProof/>
        </w:rPr>
        <w:t>12.</w:t>
      </w:r>
      <w:r w:rsidRPr="006D14CD">
        <w:rPr>
          <w:rFonts w:eastAsiaTheme="minorEastAsia"/>
          <w:noProof/>
        </w:rPr>
        <w:tab/>
      </w:r>
      <w:r w:rsidRPr="006D14CD">
        <w:rPr>
          <w:noProof/>
        </w:rPr>
        <w:t>Size of the Board; Attendance</w:t>
      </w:r>
      <w:r w:rsidRPr="006D14CD">
        <w:rPr>
          <w:noProof/>
        </w:rPr>
        <w:tab/>
      </w:r>
      <w:r w:rsidR="00827754">
        <w:rPr>
          <w:noProof/>
        </w:rPr>
        <w:t>3</w:t>
      </w:r>
    </w:p>
    <w:p w14:paraId="0C922B79" w14:textId="6801D8C6" w:rsidR="006D14CD" w:rsidRPr="006D14CD" w:rsidRDefault="006D14CD" w:rsidP="006D14CD">
      <w:pPr>
        <w:pStyle w:val="TOC1"/>
        <w:rPr>
          <w:rFonts w:eastAsiaTheme="minorEastAsia"/>
          <w:noProof/>
        </w:rPr>
      </w:pPr>
      <w:r w:rsidRPr="006D14CD">
        <w:rPr>
          <w:noProof/>
        </w:rPr>
        <w:t>13.</w:t>
      </w:r>
      <w:r w:rsidRPr="006D14CD">
        <w:rPr>
          <w:rFonts w:eastAsiaTheme="minorEastAsia"/>
          <w:noProof/>
        </w:rPr>
        <w:tab/>
      </w:r>
      <w:r w:rsidRPr="006D14CD">
        <w:rPr>
          <w:noProof/>
        </w:rPr>
        <w:t>Independent Directors</w:t>
      </w:r>
      <w:r w:rsidRPr="006D14CD">
        <w:rPr>
          <w:noProof/>
        </w:rPr>
        <w:tab/>
      </w:r>
      <w:r w:rsidR="00827754">
        <w:rPr>
          <w:noProof/>
        </w:rPr>
        <w:t>4</w:t>
      </w:r>
    </w:p>
    <w:p w14:paraId="5E9A787A" w14:textId="550320CE" w:rsidR="006D14CD" w:rsidRPr="006D14CD" w:rsidRDefault="006D14CD" w:rsidP="006D14CD">
      <w:pPr>
        <w:pStyle w:val="TOC1"/>
        <w:rPr>
          <w:rFonts w:eastAsiaTheme="minorEastAsia"/>
          <w:noProof/>
        </w:rPr>
      </w:pPr>
      <w:r w:rsidRPr="006D14CD">
        <w:rPr>
          <w:noProof/>
        </w:rPr>
        <w:t>14.</w:t>
      </w:r>
      <w:r w:rsidRPr="006D14CD">
        <w:rPr>
          <w:rFonts w:eastAsiaTheme="minorEastAsia"/>
          <w:noProof/>
        </w:rPr>
        <w:tab/>
      </w:r>
      <w:r w:rsidRPr="006D14CD">
        <w:rPr>
          <w:noProof/>
        </w:rPr>
        <w:t>Definition of Independent</w:t>
      </w:r>
      <w:r w:rsidRPr="006D14CD">
        <w:rPr>
          <w:noProof/>
        </w:rPr>
        <w:tab/>
      </w:r>
      <w:r w:rsidR="00827754">
        <w:rPr>
          <w:noProof/>
        </w:rPr>
        <w:t>4</w:t>
      </w:r>
    </w:p>
    <w:p w14:paraId="670CD103" w14:textId="2AE384D9" w:rsidR="006D14CD" w:rsidRPr="006D14CD" w:rsidRDefault="006D14CD" w:rsidP="006D14CD">
      <w:pPr>
        <w:pStyle w:val="TOC1"/>
        <w:rPr>
          <w:rFonts w:eastAsiaTheme="minorEastAsia"/>
          <w:noProof/>
        </w:rPr>
      </w:pPr>
      <w:r w:rsidRPr="006D14CD">
        <w:rPr>
          <w:noProof/>
        </w:rPr>
        <w:t>15.</w:t>
      </w:r>
      <w:r w:rsidRPr="006D14CD">
        <w:rPr>
          <w:rFonts w:eastAsiaTheme="minorEastAsia"/>
          <w:noProof/>
        </w:rPr>
        <w:tab/>
      </w:r>
      <w:r w:rsidRPr="006D14CD">
        <w:rPr>
          <w:noProof/>
        </w:rPr>
        <w:t>Former CEO</w:t>
      </w:r>
      <w:r w:rsidR="00E871FB">
        <w:rPr>
          <w:noProof/>
        </w:rPr>
        <w:t>’</w:t>
      </w:r>
      <w:r w:rsidRPr="006D14CD">
        <w:rPr>
          <w:noProof/>
        </w:rPr>
        <w:t>s Board Membership</w:t>
      </w:r>
      <w:r w:rsidRPr="006D14CD">
        <w:rPr>
          <w:noProof/>
        </w:rPr>
        <w:tab/>
      </w:r>
      <w:r w:rsidR="00827754">
        <w:rPr>
          <w:noProof/>
        </w:rPr>
        <w:t>5</w:t>
      </w:r>
    </w:p>
    <w:p w14:paraId="71BB411F" w14:textId="6F1370D1" w:rsidR="006D14CD" w:rsidRPr="006D14CD" w:rsidRDefault="006D14CD" w:rsidP="006D14CD">
      <w:pPr>
        <w:pStyle w:val="TOC1"/>
        <w:rPr>
          <w:rFonts w:eastAsiaTheme="minorEastAsia"/>
          <w:noProof/>
        </w:rPr>
      </w:pPr>
      <w:r w:rsidRPr="006D14CD">
        <w:rPr>
          <w:noProof/>
        </w:rPr>
        <w:t>16.</w:t>
      </w:r>
      <w:r w:rsidRPr="006D14CD">
        <w:rPr>
          <w:rFonts w:eastAsiaTheme="minorEastAsia"/>
          <w:noProof/>
        </w:rPr>
        <w:tab/>
      </w:r>
      <w:r w:rsidRPr="006D14CD">
        <w:rPr>
          <w:noProof/>
        </w:rPr>
        <w:t>Board Membership Criteria</w:t>
      </w:r>
      <w:r w:rsidRPr="006D14CD">
        <w:rPr>
          <w:noProof/>
        </w:rPr>
        <w:tab/>
      </w:r>
      <w:r w:rsidR="00827754">
        <w:rPr>
          <w:noProof/>
        </w:rPr>
        <w:t>5</w:t>
      </w:r>
    </w:p>
    <w:p w14:paraId="37BE24B8" w14:textId="13E30D08" w:rsidR="006D14CD" w:rsidRPr="006D14CD" w:rsidRDefault="006D14CD" w:rsidP="006D14CD">
      <w:pPr>
        <w:pStyle w:val="TOC1"/>
        <w:rPr>
          <w:rFonts w:eastAsiaTheme="minorEastAsia"/>
          <w:noProof/>
        </w:rPr>
      </w:pPr>
      <w:r w:rsidRPr="006D14CD">
        <w:rPr>
          <w:noProof/>
        </w:rPr>
        <w:t>17.</w:t>
      </w:r>
      <w:r w:rsidRPr="006D14CD">
        <w:rPr>
          <w:rFonts w:eastAsiaTheme="minorEastAsia"/>
          <w:noProof/>
        </w:rPr>
        <w:tab/>
      </w:r>
      <w:r w:rsidRPr="006D14CD">
        <w:rPr>
          <w:noProof/>
        </w:rPr>
        <w:t>Selection and Evaluation of New Director Candidates</w:t>
      </w:r>
      <w:r w:rsidRPr="006D14CD">
        <w:rPr>
          <w:noProof/>
        </w:rPr>
        <w:tab/>
      </w:r>
      <w:r w:rsidR="00827754">
        <w:rPr>
          <w:noProof/>
        </w:rPr>
        <w:t>6</w:t>
      </w:r>
    </w:p>
    <w:p w14:paraId="14937466" w14:textId="0E829339" w:rsidR="006D14CD" w:rsidRPr="006D14CD" w:rsidRDefault="006D14CD" w:rsidP="006D14CD">
      <w:pPr>
        <w:pStyle w:val="TOC1"/>
        <w:rPr>
          <w:rFonts w:eastAsiaTheme="minorEastAsia"/>
          <w:noProof/>
        </w:rPr>
      </w:pPr>
      <w:r w:rsidRPr="006D14CD">
        <w:rPr>
          <w:noProof/>
        </w:rPr>
        <w:t>18.</w:t>
      </w:r>
      <w:r w:rsidRPr="006D14CD">
        <w:rPr>
          <w:rFonts w:eastAsiaTheme="minorEastAsia"/>
          <w:noProof/>
        </w:rPr>
        <w:tab/>
      </w:r>
      <w:r w:rsidRPr="006D14CD">
        <w:rPr>
          <w:noProof/>
        </w:rPr>
        <w:t>Assessing the Board</w:t>
      </w:r>
      <w:r w:rsidR="00E871FB">
        <w:rPr>
          <w:noProof/>
        </w:rPr>
        <w:t>’</w:t>
      </w:r>
      <w:r w:rsidRPr="006D14CD">
        <w:rPr>
          <w:noProof/>
        </w:rPr>
        <w:t>s Performance</w:t>
      </w:r>
      <w:r w:rsidRPr="006D14CD">
        <w:rPr>
          <w:noProof/>
        </w:rPr>
        <w:tab/>
      </w:r>
      <w:r w:rsidR="00827754">
        <w:rPr>
          <w:noProof/>
        </w:rPr>
        <w:t>7</w:t>
      </w:r>
    </w:p>
    <w:p w14:paraId="77E52074" w14:textId="23B39409" w:rsidR="006D14CD" w:rsidRPr="006D14CD" w:rsidRDefault="006D14CD" w:rsidP="006D14CD">
      <w:pPr>
        <w:pStyle w:val="TOC1"/>
        <w:rPr>
          <w:rFonts w:eastAsiaTheme="minorEastAsia"/>
          <w:noProof/>
        </w:rPr>
      </w:pPr>
      <w:r w:rsidRPr="006D14CD">
        <w:rPr>
          <w:noProof/>
        </w:rPr>
        <w:t>19.</w:t>
      </w:r>
      <w:r w:rsidRPr="006D14CD">
        <w:rPr>
          <w:rFonts w:eastAsiaTheme="minorEastAsia"/>
          <w:noProof/>
        </w:rPr>
        <w:tab/>
      </w:r>
      <w:r w:rsidRPr="006D14CD">
        <w:rPr>
          <w:noProof/>
        </w:rPr>
        <w:t>Directors Who Change Their Present Job Responsibility</w:t>
      </w:r>
      <w:r w:rsidRPr="006D14CD">
        <w:rPr>
          <w:noProof/>
        </w:rPr>
        <w:tab/>
      </w:r>
      <w:r w:rsidR="00827754">
        <w:rPr>
          <w:noProof/>
        </w:rPr>
        <w:t>7</w:t>
      </w:r>
    </w:p>
    <w:p w14:paraId="2C1AF335" w14:textId="30F608EA" w:rsidR="006D14CD" w:rsidRPr="006D14CD" w:rsidRDefault="006D14CD" w:rsidP="006D14CD">
      <w:pPr>
        <w:pStyle w:val="TOC1"/>
        <w:rPr>
          <w:rFonts w:eastAsiaTheme="minorEastAsia"/>
          <w:noProof/>
        </w:rPr>
      </w:pPr>
      <w:r w:rsidRPr="006D14CD">
        <w:rPr>
          <w:noProof/>
        </w:rPr>
        <w:t>20.</w:t>
      </w:r>
      <w:r w:rsidRPr="006D14CD">
        <w:rPr>
          <w:rFonts w:eastAsiaTheme="minorEastAsia"/>
          <w:noProof/>
        </w:rPr>
        <w:tab/>
      </w:r>
      <w:r w:rsidRPr="006D14CD">
        <w:rPr>
          <w:noProof/>
        </w:rPr>
        <w:t>Retirement Policy</w:t>
      </w:r>
      <w:r w:rsidRPr="006D14CD">
        <w:rPr>
          <w:noProof/>
        </w:rPr>
        <w:tab/>
      </w:r>
      <w:r w:rsidR="00827754">
        <w:rPr>
          <w:noProof/>
        </w:rPr>
        <w:t>8</w:t>
      </w:r>
    </w:p>
    <w:p w14:paraId="20F115D7" w14:textId="31BF0E93" w:rsidR="006D14CD" w:rsidRPr="006D14CD" w:rsidRDefault="006D14CD" w:rsidP="006D14CD">
      <w:pPr>
        <w:pStyle w:val="TOC1"/>
        <w:rPr>
          <w:rFonts w:eastAsiaTheme="minorEastAsia"/>
          <w:noProof/>
        </w:rPr>
      </w:pPr>
      <w:r w:rsidRPr="006D14CD">
        <w:rPr>
          <w:noProof/>
        </w:rPr>
        <w:t>21.</w:t>
      </w:r>
      <w:r w:rsidRPr="006D14CD">
        <w:rPr>
          <w:rFonts w:eastAsiaTheme="minorEastAsia"/>
          <w:noProof/>
        </w:rPr>
        <w:tab/>
      </w:r>
      <w:r w:rsidRPr="006D14CD">
        <w:rPr>
          <w:noProof/>
        </w:rPr>
        <w:t>Formal Evaluation of the CEO</w:t>
      </w:r>
      <w:r w:rsidRPr="006D14CD">
        <w:rPr>
          <w:noProof/>
        </w:rPr>
        <w:tab/>
      </w:r>
      <w:r w:rsidR="00827754">
        <w:rPr>
          <w:noProof/>
        </w:rPr>
        <w:t>8</w:t>
      </w:r>
    </w:p>
    <w:p w14:paraId="5BDFADEC" w14:textId="299643EB" w:rsidR="006D14CD" w:rsidRPr="006D14CD" w:rsidRDefault="006D14CD" w:rsidP="006D14CD">
      <w:pPr>
        <w:pStyle w:val="TOC1"/>
        <w:rPr>
          <w:rFonts w:eastAsiaTheme="minorEastAsia"/>
          <w:noProof/>
        </w:rPr>
      </w:pPr>
      <w:r w:rsidRPr="006D14CD">
        <w:rPr>
          <w:noProof/>
        </w:rPr>
        <w:t>22.</w:t>
      </w:r>
      <w:r w:rsidRPr="006D14CD">
        <w:rPr>
          <w:rFonts w:eastAsiaTheme="minorEastAsia"/>
          <w:noProof/>
        </w:rPr>
        <w:tab/>
      </w:r>
      <w:r w:rsidRPr="006D14CD">
        <w:rPr>
          <w:noProof/>
        </w:rPr>
        <w:t>Succession Planning</w:t>
      </w:r>
      <w:r w:rsidRPr="006D14CD">
        <w:rPr>
          <w:noProof/>
        </w:rPr>
        <w:tab/>
      </w:r>
      <w:r w:rsidR="00827754">
        <w:rPr>
          <w:noProof/>
        </w:rPr>
        <w:t>8</w:t>
      </w:r>
    </w:p>
    <w:p w14:paraId="2F202841" w14:textId="70B2F88D" w:rsidR="006D14CD" w:rsidRPr="006D14CD" w:rsidRDefault="006D14CD" w:rsidP="006D14CD">
      <w:pPr>
        <w:pStyle w:val="TOC1"/>
        <w:rPr>
          <w:rFonts w:eastAsiaTheme="minorEastAsia"/>
          <w:noProof/>
        </w:rPr>
      </w:pPr>
      <w:r w:rsidRPr="006D14CD">
        <w:rPr>
          <w:noProof/>
        </w:rPr>
        <w:t>23.</w:t>
      </w:r>
      <w:r w:rsidRPr="006D14CD">
        <w:rPr>
          <w:rFonts w:eastAsiaTheme="minorEastAsia"/>
          <w:noProof/>
        </w:rPr>
        <w:tab/>
      </w:r>
      <w:r w:rsidRPr="006D14CD">
        <w:rPr>
          <w:noProof/>
        </w:rPr>
        <w:t>Management Development</w:t>
      </w:r>
      <w:r w:rsidRPr="006D14CD">
        <w:rPr>
          <w:noProof/>
        </w:rPr>
        <w:tab/>
      </w:r>
      <w:r w:rsidR="00827754">
        <w:rPr>
          <w:noProof/>
        </w:rPr>
        <w:t>8</w:t>
      </w:r>
    </w:p>
    <w:p w14:paraId="7FB50034" w14:textId="0D58DC81" w:rsidR="006D14CD" w:rsidRPr="006D14CD" w:rsidRDefault="006D14CD" w:rsidP="006D14CD">
      <w:pPr>
        <w:pStyle w:val="TOC1"/>
        <w:rPr>
          <w:rFonts w:eastAsiaTheme="minorEastAsia"/>
          <w:noProof/>
        </w:rPr>
      </w:pPr>
      <w:r w:rsidRPr="006D14CD">
        <w:rPr>
          <w:noProof/>
        </w:rPr>
        <w:t>24.</w:t>
      </w:r>
      <w:r w:rsidRPr="006D14CD">
        <w:rPr>
          <w:rFonts w:eastAsiaTheme="minorEastAsia"/>
          <w:noProof/>
        </w:rPr>
        <w:tab/>
      </w:r>
      <w:r w:rsidRPr="006D14CD">
        <w:rPr>
          <w:noProof/>
        </w:rPr>
        <w:t>Board Interaction with Investors, the Press, Customers, Stockholders and Others</w:t>
      </w:r>
      <w:r w:rsidRPr="006D14CD">
        <w:rPr>
          <w:noProof/>
        </w:rPr>
        <w:tab/>
      </w:r>
      <w:r w:rsidR="00827754">
        <w:rPr>
          <w:noProof/>
        </w:rPr>
        <w:t>9</w:t>
      </w:r>
    </w:p>
    <w:p w14:paraId="5DD5CCBD" w14:textId="65B0853A" w:rsidR="006D14CD" w:rsidRPr="006D14CD" w:rsidRDefault="006D14CD" w:rsidP="006D14CD">
      <w:pPr>
        <w:pStyle w:val="TOC1"/>
        <w:rPr>
          <w:rFonts w:eastAsiaTheme="minorEastAsia"/>
          <w:noProof/>
        </w:rPr>
      </w:pPr>
      <w:r w:rsidRPr="006D14CD">
        <w:rPr>
          <w:noProof/>
        </w:rPr>
        <w:t>25.</w:t>
      </w:r>
      <w:r w:rsidRPr="006D14CD">
        <w:rPr>
          <w:rFonts w:eastAsiaTheme="minorEastAsia"/>
          <w:noProof/>
        </w:rPr>
        <w:tab/>
      </w:r>
      <w:r w:rsidRPr="006D14CD">
        <w:rPr>
          <w:noProof/>
        </w:rPr>
        <w:t>Share Ownership of Directors</w:t>
      </w:r>
      <w:r w:rsidRPr="006D14CD">
        <w:rPr>
          <w:noProof/>
        </w:rPr>
        <w:tab/>
      </w:r>
      <w:r w:rsidR="00827754">
        <w:rPr>
          <w:noProof/>
        </w:rPr>
        <w:t>9</w:t>
      </w:r>
    </w:p>
    <w:p w14:paraId="6E1C669E" w14:textId="0A5AAEE7" w:rsidR="006D14CD" w:rsidRPr="006D14CD" w:rsidRDefault="006D14CD" w:rsidP="006D14CD">
      <w:pPr>
        <w:pStyle w:val="TOC1"/>
        <w:rPr>
          <w:rFonts w:eastAsiaTheme="minorEastAsia"/>
          <w:noProof/>
        </w:rPr>
      </w:pPr>
      <w:r w:rsidRPr="006D14CD">
        <w:rPr>
          <w:noProof/>
        </w:rPr>
        <w:t>26.</w:t>
      </w:r>
      <w:r w:rsidRPr="006D14CD">
        <w:rPr>
          <w:rFonts w:eastAsiaTheme="minorEastAsia"/>
          <w:noProof/>
        </w:rPr>
        <w:tab/>
      </w:r>
      <w:r w:rsidRPr="006D14CD">
        <w:rPr>
          <w:noProof/>
        </w:rPr>
        <w:t>Conflicts of Interest, Related Person Transactions and Business Ethics</w:t>
      </w:r>
      <w:r w:rsidRPr="006D14CD">
        <w:rPr>
          <w:noProof/>
        </w:rPr>
        <w:tab/>
      </w:r>
      <w:r w:rsidR="00827754">
        <w:rPr>
          <w:noProof/>
        </w:rPr>
        <w:t>9</w:t>
      </w:r>
    </w:p>
    <w:p w14:paraId="5299B42F" w14:textId="68EDB74F" w:rsidR="006D14CD" w:rsidRPr="006D14CD" w:rsidRDefault="006D14CD" w:rsidP="006D14CD">
      <w:pPr>
        <w:pStyle w:val="TOC1"/>
        <w:rPr>
          <w:rFonts w:eastAsiaTheme="minorEastAsia"/>
          <w:noProof/>
        </w:rPr>
      </w:pPr>
      <w:r w:rsidRPr="006D14CD">
        <w:rPr>
          <w:noProof/>
        </w:rPr>
        <w:lastRenderedPageBreak/>
        <w:t>27.</w:t>
      </w:r>
      <w:r w:rsidRPr="006D14CD">
        <w:rPr>
          <w:rFonts w:eastAsiaTheme="minorEastAsia"/>
          <w:noProof/>
        </w:rPr>
        <w:tab/>
      </w:r>
      <w:r w:rsidRPr="006D14CD">
        <w:rPr>
          <w:noProof/>
        </w:rPr>
        <w:t>Director Continuing Education</w:t>
      </w:r>
      <w:r w:rsidRPr="006D14CD">
        <w:rPr>
          <w:noProof/>
        </w:rPr>
        <w:tab/>
      </w:r>
      <w:r w:rsidR="00827754">
        <w:rPr>
          <w:noProof/>
        </w:rPr>
        <w:t>10</w:t>
      </w:r>
    </w:p>
    <w:p w14:paraId="6DA2416B" w14:textId="4E6500DC" w:rsidR="006D14CD" w:rsidRPr="006D14CD" w:rsidRDefault="006D14CD" w:rsidP="006D14CD">
      <w:pPr>
        <w:pStyle w:val="TOC1"/>
        <w:rPr>
          <w:rFonts w:eastAsiaTheme="minorEastAsia"/>
          <w:noProof/>
        </w:rPr>
      </w:pPr>
      <w:r w:rsidRPr="006D14CD">
        <w:rPr>
          <w:noProof/>
        </w:rPr>
        <w:t>28.</w:t>
      </w:r>
      <w:r w:rsidRPr="006D14CD">
        <w:rPr>
          <w:rFonts w:eastAsiaTheme="minorEastAsia"/>
          <w:noProof/>
        </w:rPr>
        <w:tab/>
      </w:r>
      <w:r w:rsidRPr="006D14CD">
        <w:rPr>
          <w:noProof/>
        </w:rPr>
        <w:t>Consulting Agreements with Directors</w:t>
      </w:r>
      <w:r w:rsidRPr="006D14CD">
        <w:rPr>
          <w:noProof/>
        </w:rPr>
        <w:tab/>
      </w:r>
      <w:r w:rsidR="00827754">
        <w:rPr>
          <w:noProof/>
        </w:rPr>
        <w:t>10</w:t>
      </w:r>
    </w:p>
    <w:p w14:paraId="04B4979E" w14:textId="4FE660B3" w:rsidR="006D14CD" w:rsidRPr="006D14CD" w:rsidRDefault="006D14CD" w:rsidP="006D14CD">
      <w:pPr>
        <w:pStyle w:val="TOC1"/>
        <w:rPr>
          <w:rFonts w:eastAsiaTheme="minorEastAsia"/>
          <w:noProof/>
        </w:rPr>
      </w:pPr>
      <w:r w:rsidRPr="006D14CD">
        <w:rPr>
          <w:noProof/>
        </w:rPr>
        <w:t>29.</w:t>
      </w:r>
      <w:r w:rsidRPr="006D14CD">
        <w:rPr>
          <w:rFonts w:eastAsiaTheme="minorEastAsia"/>
          <w:noProof/>
        </w:rPr>
        <w:tab/>
      </w:r>
      <w:r w:rsidRPr="006D14CD">
        <w:rPr>
          <w:noProof/>
        </w:rPr>
        <w:t>Director Attendance at Stockholder Meetings</w:t>
      </w:r>
      <w:r w:rsidRPr="006D14CD">
        <w:rPr>
          <w:noProof/>
        </w:rPr>
        <w:tab/>
      </w:r>
      <w:r w:rsidR="00827754">
        <w:rPr>
          <w:noProof/>
        </w:rPr>
        <w:t>10</w:t>
      </w:r>
    </w:p>
    <w:p w14:paraId="1F2931B0" w14:textId="003DC9FF" w:rsidR="006D14CD" w:rsidRPr="006D14CD" w:rsidRDefault="006D14CD" w:rsidP="006D14CD">
      <w:pPr>
        <w:pStyle w:val="TOC1"/>
        <w:rPr>
          <w:rFonts w:eastAsiaTheme="minorEastAsia"/>
          <w:noProof/>
        </w:rPr>
      </w:pPr>
      <w:r w:rsidRPr="006D14CD">
        <w:rPr>
          <w:noProof/>
        </w:rPr>
        <w:t>30.</w:t>
      </w:r>
      <w:r w:rsidRPr="006D14CD">
        <w:rPr>
          <w:rFonts w:eastAsiaTheme="minorEastAsia"/>
          <w:noProof/>
        </w:rPr>
        <w:tab/>
      </w:r>
      <w:r w:rsidRPr="006D14CD">
        <w:rPr>
          <w:noProof/>
        </w:rPr>
        <w:t>Access to Independent Advisors</w:t>
      </w:r>
      <w:r w:rsidRPr="006D14CD">
        <w:rPr>
          <w:noProof/>
        </w:rPr>
        <w:tab/>
      </w:r>
      <w:r w:rsidR="00827754">
        <w:rPr>
          <w:noProof/>
        </w:rPr>
        <w:t>10</w:t>
      </w:r>
    </w:p>
    <w:p w14:paraId="0A63E3A4" w14:textId="48E8464C" w:rsidR="006D14CD" w:rsidRPr="006D14CD" w:rsidRDefault="006D14CD" w:rsidP="006D14CD">
      <w:pPr>
        <w:pStyle w:val="TOC1"/>
        <w:rPr>
          <w:rFonts w:eastAsiaTheme="minorEastAsia"/>
          <w:noProof/>
        </w:rPr>
      </w:pPr>
      <w:r w:rsidRPr="006D14CD">
        <w:rPr>
          <w:noProof/>
        </w:rPr>
        <w:t>31.</w:t>
      </w:r>
      <w:r w:rsidRPr="006D14CD">
        <w:rPr>
          <w:rFonts w:eastAsiaTheme="minorEastAsia"/>
          <w:noProof/>
        </w:rPr>
        <w:tab/>
      </w:r>
      <w:r w:rsidRPr="006D14CD">
        <w:rPr>
          <w:noProof/>
        </w:rPr>
        <w:t>Voting for Directors</w:t>
      </w:r>
      <w:r w:rsidRPr="006D14CD">
        <w:rPr>
          <w:noProof/>
        </w:rPr>
        <w:tab/>
      </w:r>
      <w:r w:rsidR="00827754">
        <w:rPr>
          <w:noProof/>
        </w:rPr>
        <w:t>11</w:t>
      </w:r>
    </w:p>
    <w:bookmarkEnd w:id="1"/>
    <w:p w14:paraId="3520AE9F" w14:textId="77777777" w:rsidR="006A315F" w:rsidRPr="006D14CD" w:rsidRDefault="006D14CD" w:rsidP="006A315F">
      <w:pPr>
        <w:rPr>
          <w:sz w:val="12"/>
        </w:rPr>
      </w:pPr>
      <w:r>
        <w:fldChar w:fldCharType="end"/>
      </w:r>
    </w:p>
    <w:p w14:paraId="41D7CB66" w14:textId="77777777" w:rsidR="006A315F" w:rsidRDefault="006A315F" w:rsidP="006A315F">
      <w:pPr>
        <w:sectPr w:rsidR="006A315F" w:rsidSect="00F166F4">
          <w:footerReference w:type="default" r:id="rId10"/>
          <w:footerReference w:type="first" r:id="rId11"/>
          <w:pgSz w:w="12240" w:h="15840" w:code="1"/>
          <w:pgMar w:top="1440" w:right="1440" w:bottom="1440" w:left="1440" w:header="360" w:footer="360" w:gutter="0"/>
          <w:pgNumType w:fmt="lowerRoman" w:start="1"/>
          <w:cols w:space="720"/>
          <w:docGrid w:linePitch="360"/>
        </w:sectPr>
      </w:pPr>
    </w:p>
    <w:p w14:paraId="0EA2E665" w14:textId="77777777" w:rsidR="006A315F" w:rsidRPr="006A315F" w:rsidRDefault="006A315F" w:rsidP="00D67A1D">
      <w:pPr>
        <w:pStyle w:val="Title"/>
        <w:rPr>
          <w:u w:val="single"/>
        </w:rPr>
      </w:pPr>
      <w:r w:rsidRPr="006A315F">
        <w:rPr>
          <w:u w:val="single"/>
        </w:rPr>
        <w:lastRenderedPageBreak/>
        <w:t>CORPORATE GOVERNANCE GUIDELINES</w:t>
      </w:r>
    </w:p>
    <w:p w14:paraId="1A6D581B" w14:textId="77777777" w:rsidR="006A315F" w:rsidRPr="006A315F" w:rsidRDefault="006A315F" w:rsidP="006D14CD">
      <w:pPr>
        <w:pStyle w:val="Heading1"/>
      </w:pPr>
      <w:bookmarkStart w:id="2" w:name="_Toc169774785"/>
      <w:r w:rsidRPr="006A315F">
        <w:t>Role of the Board and Management</w:t>
      </w:r>
      <w:bookmarkEnd w:id="2"/>
    </w:p>
    <w:p w14:paraId="6FD9CC1D" w14:textId="1B0970AE" w:rsidR="006A315F" w:rsidRDefault="006A315F" w:rsidP="006A315F">
      <w:pPr>
        <w:pStyle w:val="BodyTextFirstIndent"/>
      </w:pPr>
      <w:r>
        <w:t xml:space="preserve">The fundamental responsibility of the Board of Directors (the </w:t>
      </w:r>
      <w:r w:rsidR="00E871FB">
        <w:t>“</w:t>
      </w:r>
      <w:r>
        <w:t>Board</w:t>
      </w:r>
      <w:r w:rsidR="00E871FB">
        <w:t>”</w:t>
      </w:r>
      <w:r>
        <w:t xml:space="preserve">) is to represent the interests of </w:t>
      </w:r>
      <w:r w:rsidR="006D14CD">
        <w:t>the</w:t>
      </w:r>
      <w:r>
        <w:t xml:space="preserve"> stockholders of Varex Imaging Corporation (the </w:t>
      </w:r>
      <w:r w:rsidR="00E871FB">
        <w:t>“</w:t>
      </w:r>
      <w:r w:rsidR="0073027B">
        <w:t>Company</w:t>
      </w:r>
      <w:r w:rsidR="00E871FB">
        <w:t>”</w:t>
      </w:r>
      <w:r>
        <w:t xml:space="preserve"> or </w:t>
      </w:r>
      <w:r w:rsidR="00E871FB">
        <w:t>“</w:t>
      </w:r>
      <w:r>
        <w:t>V</w:t>
      </w:r>
      <w:r w:rsidR="003469CB">
        <w:t>arex</w:t>
      </w:r>
      <w:r w:rsidR="00E871FB">
        <w:t>”</w:t>
      </w:r>
      <w:r>
        <w:t xml:space="preserve">).  </w:t>
      </w:r>
      <w:r w:rsidR="00941D41">
        <w:t xml:space="preserve">However, in carrying out this responsibility, the Board </w:t>
      </w:r>
      <w:r w:rsidR="00941D41" w:rsidRPr="00941D41">
        <w:t>may take into consideration the interests of other stakeholders</w:t>
      </w:r>
      <w:r w:rsidR="00941D41">
        <w:t>.</w:t>
      </w:r>
      <w:r w:rsidR="00941D41" w:rsidRPr="00941D41">
        <w:t xml:space="preserve"> </w:t>
      </w:r>
      <w:r>
        <w:t xml:space="preserve">In fulfilling its responsibilities, the Board performs the following principal functions: (i) selecting, evaluating, compensating and, where necessary, replacing the </w:t>
      </w:r>
      <w:r w:rsidR="0073027B">
        <w:t xml:space="preserve">Company’s </w:t>
      </w:r>
      <w:r>
        <w:t>Chief Executive Officer (</w:t>
      </w:r>
      <w:r w:rsidR="00E871FB">
        <w:t>“</w:t>
      </w:r>
      <w:r>
        <w:t>CEO</w:t>
      </w:r>
      <w:r w:rsidR="00E871FB">
        <w:t>”</w:t>
      </w:r>
      <w:r>
        <w:t>) and other executive officers (</w:t>
      </w:r>
      <w:r w:rsidR="00E871FB">
        <w:t>“</w:t>
      </w:r>
      <w:r>
        <w:t>Officers</w:t>
      </w:r>
      <w:r w:rsidR="00E871FB">
        <w:t>”</w:t>
      </w:r>
      <w:r>
        <w:t xml:space="preserve">); (ii) approving corporate strategy, annual operating budgets, mergers and acquisitions and significant financings; (iii) providing general oversight of the </w:t>
      </w:r>
      <w:r w:rsidR="0073027B">
        <w:t xml:space="preserve">Company’s </w:t>
      </w:r>
      <w:r>
        <w:t>business; (iv) evaluating and establishing Board processes, performance and compensation; (v) selecting Directors; and (vi) monitoring legal and ethical conduct. These activities are performed in cooperation with the CEO.</w:t>
      </w:r>
    </w:p>
    <w:p w14:paraId="1178593E" w14:textId="77777777" w:rsidR="006A315F" w:rsidRDefault="006A315F" w:rsidP="006A315F">
      <w:pPr>
        <w:pStyle w:val="BodyTextFirstIndent"/>
      </w:pPr>
      <w:r>
        <w:t xml:space="preserve">The </w:t>
      </w:r>
      <w:r w:rsidR="0073027B">
        <w:t xml:space="preserve">Company’s </w:t>
      </w:r>
      <w:r>
        <w:t>management (</w:t>
      </w:r>
      <w:r w:rsidR="00E871FB">
        <w:t>“</w:t>
      </w:r>
      <w:r>
        <w:t>Management</w:t>
      </w:r>
      <w:r w:rsidR="00E871FB">
        <w:t>”</w:t>
      </w:r>
      <w:r>
        <w:t>) executes the corporation</w:t>
      </w:r>
      <w:r w:rsidR="00E871FB">
        <w:t>’</w:t>
      </w:r>
      <w:r>
        <w:t>s approved plans and budgets and is responsible for the day-to-day management of the corporation.</w:t>
      </w:r>
    </w:p>
    <w:p w14:paraId="510457CB" w14:textId="3689C41D" w:rsidR="006A315F" w:rsidRDefault="006A315F" w:rsidP="006A315F">
      <w:pPr>
        <w:pStyle w:val="BodyTextFirstIndent"/>
      </w:pPr>
      <w:r>
        <w:t xml:space="preserve">In connection with its duties and responsibilities, the members of the Board shall at all times act in accordance with the </w:t>
      </w:r>
      <w:r w:rsidR="0073027B">
        <w:t xml:space="preserve">Company’s </w:t>
      </w:r>
      <w:r>
        <w:t xml:space="preserve">policies and practices applicable to each </w:t>
      </w:r>
      <w:r w:rsidR="00861D78">
        <w:t>D</w:t>
      </w:r>
      <w:r>
        <w:t xml:space="preserve">irector in connection with his or her activities relating to the </w:t>
      </w:r>
      <w:r w:rsidR="0073027B">
        <w:t>Company</w:t>
      </w:r>
      <w:r>
        <w:t xml:space="preserve">, including the </w:t>
      </w:r>
      <w:r w:rsidR="0073027B">
        <w:t xml:space="preserve">Company’s </w:t>
      </w:r>
      <w:r>
        <w:t>Code of Conduct and Related P</w:t>
      </w:r>
      <w:r w:rsidR="00941D41">
        <w:t>arty</w:t>
      </w:r>
      <w:r>
        <w:t xml:space="preserve"> Transactions </w:t>
      </w:r>
      <w:r w:rsidR="00941D41">
        <w:t>Policy</w:t>
      </w:r>
      <w:r>
        <w:t>.</w:t>
      </w:r>
    </w:p>
    <w:p w14:paraId="2EA8F065" w14:textId="5E355032" w:rsidR="006A315F" w:rsidRDefault="006A315F" w:rsidP="006D14CD">
      <w:pPr>
        <w:pStyle w:val="Heading1"/>
      </w:pPr>
      <w:bookmarkStart w:id="3" w:name="_Toc169774786"/>
      <w:r>
        <w:t xml:space="preserve">Selection of </w:t>
      </w:r>
      <w:r w:rsidR="00181FEE">
        <w:t>Chair</w:t>
      </w:r>
      <w:r>
        <w:t>, CEO, and Lead Director</w:t>
      </w:r>
      <w:bookmarkEnd w:id="3"/>
    </w:p>
    <w:p w14:paraId="221B30E1" w14:textId="6A043D11" w:rsidR="006A315F" w:rsidRDefault="006A315F" w:rsidP="006A315F">
      <w:pPr>
        <w:pStyle w:val="BodyTextFirstIndent"/>
      </w:pPr>
      <w:r>
        <w:t xml:space="preserve">The Board has the sole responsibility to select its </w:t>
      </w:r>
      <w:r w:rsidR="00181FEE">
        <w:t xml:space="preserve">Chair </w:t>
      </w:r>
      <w:r>
        <w:t xml:space="preserve">(the </w:t>
      </w:r>
      <w:r w:rsidR="00E871FB">
        <w:t>“</w:t>
      </w:r>
      <w:r>
        <w:t>Chair</w:t>
      </w:r>
      <w:r w:rsidR="00E871FB">
        <w:t>”</w:t>
      </w:r>
      <w:r>
        <w:t xml:space="preserve">) and the CEO.  The </w:t>
      </w:r>
      <w:r w:rsidR="00146E6B">
        <w:t xml:space="preserve">independent directors of the Board (as defined in these </w:t>
      </w:r>
      <w:r w:rsidR="003C68B6">
        <w:t>g</w:t>
      </w:r>
      <w:r w:rsidR="00146E6B">
        <w:t>uidelines – “Independent Directors”)</w:t>
      </w:r>
      <w:r>
        <w:t xml:space="preserve"> shall, upon recommendation from the Nominating and Corporate Governance Committee, appoint a Lead Director if the </w:t>
      </w:r>
      <w:r w:rsidR="00181FEE">
        <w:t>Chair</w:t>
      </w:r>
      <w:r>
        <w:t xml:space="preserve"> is an employee Director or otherwise is not an </w:t>
      </w:r>
      <w:r w:rsidR="00E871FB">
        <w:t>“</w:t>
      </w:r>
      <w:r>
        <w:t>Independent Director.</w:t>
      </w:r>
      <w:r w:rsidR="00E871FB">
        <w:t>”</w:t>
      </w:r>
      <w:r>
        <w:t xml:space="preserve">  The </w:t>
      </w:r>
      <w:r w:rsidR="00181FEE">
        <w:t>Chair</w:t>
      </w:r>
      <w:r>
        <w:t xml:space="preserve"> shall have the responsibility for managing the Board</w:t>
      </w:r>
      <w:r w:rsidR="006D14CD">
        <w:t xml:space="preserve">.  </w:t>
      </w:r>
      <w:r>
        <w:t xml:space="preserve">The CEO shall have the responsibility for managing the </w:t>
      </w:r>
      <w:r w:rsidR="0073027B">
        <w:t>Company</w:t>
      </w:r>
      <w:r>
        <w:t xml:space="preserve">.  The Lead Director, if any, shall have the responsibility for leading meetings of the </w:t>
      </w:r>
      <w:r w:rsidR="00050AA6">
        <w:t>I</w:t>
      </w:r>
      <w:r>
        <w:t xml:space="preserve">ndependent </w:t>
      </w:r>
      <w:r w:rsidR="00050AA6">
        <w:t>D</w:t>
      </w:r>
      <w:r>
        <w:t xml:space="preserve">irectors, shall serve as a liaison between Independent Directors and the </w:t>
      </w:r>
      <w:r w:rsidR="00181FEE">
        <w:t>Chair</w:t>
      </w:r>
      <w:r>
        <w:t xml:space="preserve"> (and the CEO if the </w:t>
      </w:r>
      <w:r w:rsidR="00181FEE">
        <w:t>Chair</w:t>
      </w:r>
      <w:r>
        <w:t xml:space="preserve"> and CEO positions are not held by the same individual), and shall have the prerogative of calling, with due notice, a meeting of the full Board and/or an executive session of the Board consisting exclusively of the non-</w:t>
      </w:r>
      <w:r w:rsidR="0073027B">
        <w:t>M</w:t>
      </w:r>
      <w:r>
        <w:t xml:space="preserve">anagement or Independent Directors.  The </w:t>
      </w:r>
      <w:r w:rsidR="00181FEE">
        <w:t>Chair</w:t>
      </w:r>
      <w:r>
        <w:t>, if a non-</w:t>
      </w:r>
      <w:r w:rsidR="0073027B">
        <w:t>M</w:t>
      </w:r>
      <w:r>
        <w:t>anagement director, shall have the responsibility for leading meetings of the non-</w:t>
      </w:r>
      <w:r w:rsidR="0073027B">
        <w:t>M</w:t>
      </w:r>
      <w:r>
        <w:t xml:space="preserve">anagement directors.  If the </w:t>
      </w:r>
      <w:r w:rsidR="00181FEE">
        <w:t>Chair</w:t>
      </w:r>
      <w:r>
        <w:t xml:space="preserve"> and CEO positions are not held by the same individual, the CEO need not be a member of the Board.</w:t>
      </w:r>
    </w:p>
    <w:p w14:paraId="082EE795" w14:textId="77777777" w:rsidR="006A315F" w:rsidRDefault="006A315F" w:rsidP="006D14CD">
      <w:pPr>
        <w:pStyle w:val="Heading1"/>
      </w:pPr>
      <w:bookmarkStart w:id="4" w:name="_Toc169774787"/>
      <w:r>
        <w:t>Number of Committees</w:t>
      </w:r>
      <w:bookmarkEnd w:id="4"/>
    </w:p>
    <w:p w14:paraId="0A76E951" w14:textId="7D5C3072" w:rsidR="006A315F" w:rsidRDefault="006A315F" w:rsidP="006A315F">
      <w:pPr>
        <w:pStyle w:val="BodyTextFirstIndent"/>
      </w:pPr>
      <w:r>
        <w:t>The Board</w:t>
      </w:r>
      <w:r w:rsidR="00E871FB">
        <w:t>’</w:t>
      </w:r>
      <w:r>
        <w:t>s current</w:t>
      </w:r>
      <w:r w:rsidR="00DD6657">
        <w:t xml:space="preserve"> standing committees are Audit,</w:t>
      </w:r>
      <w:r>
        <w:t xml:space="preserve"> Compensation and </w:t>
      </w:r>
      <w:r w:rsidR="00051F28">
        <w:t xml:space="preserve">Human Capital </w:t>
      </w:r>
      <w:r>
        <w:t xml:space="preserve">Management, and Nominating and Corporate Governance.  From time to time, </w:t>
      </w:r>
      <w:r w:rsidRPr="006A315F">
        <w:rPr>
          <w:i/>
        </w:rPr>
        <w:t>ad</w:t>
      </w:r>
      <w:r>
        <w:rPr>
          <w:i/>
        </w:rPr>
        <w:t> </w:t>
      </w:r>
      <w:r w:rsidRPr="006A315F">
        <w:rPr>
          <w:i/>
        </w:rPr>
        <w:t>hoc</w:t>
      </w:r>
      <w:r>
        <w:t xml:space="preserve"> committees for special assignments or other committees may be established.</w:t>
      </w:r>
    </w:p>
    <w:p w14:paraId="0EE18605" w14:textId="77777777" w:rsidR="006A315F" w:rsidRDefault="006A315F" w:rsidP="006D14CD">
      <w:pPr>
        <w:pStyle w:val="Heading1"/>
      </w:pPr>
      <w:bookmarkStart w:id="5" w:name="_Toc169774788"/>
      <w:r>
        <w:lastRenderedPageBreak/>
        <w:t>Assignment and Rotation of Committee Members</w:t>
      </w:r>
      <w:bookmarkEnd w:id="5"/>
    </w:p>
    <w:p w14:paraId="7CDF2D21" w14:textId="3F775296" w:rsidR="006A315F" w:rsidRDefault="006A315F" w:rsidP="006A315F">
      <w:pPr>
        <w:pStyle w:val="BodyTextFirstIndent"/>
      </w:pPr>
      <w:r>
        <w:t>The Nominating and Corporate Governance Committee is responsible, with consideration of</w:t>
      </w:r>
      <w:r w:rsidR="006D14CD">
        <w:t xml:space="preserve"> </w:t>
      </w:r>
      <w:r>
        <w:t>the</w:t>
      </w:r>
      <w:r w:rsidR="006D14CD">
        <w:t xml:space="preserve"> </w:t>
      </w:r>
      <w:r>
        <w:t>recommendations</w:t>
      </w:r>
      <w:r w:rsidR="006D14CD">
        <w:t xml:space="preserve"> </w:t>
      </w:r>
      <w:r>
        <w:t>of</w:t>
      </w:r>
      <w:r w:rsidR="006D14CD">
        <w:t xml:space="preserve"> </w:t>
      </w:r>
      <w:r>
        <w:t>the</w:t>
      </w:r>
      <w:r w:rsidR="006D14CD">
        <w:t xml:space="preserve"> </w:t>
      </w:r>
      <w:r w:rsidR="00181FEE">
        <w:t>Chair</w:t>
      </w:r>
      <w:r>
        <w:t>,</w:t>
      </w:r>
      <w:r w:rsidR="006D14CD">
        <w:t xml:space="preserve"> </w:t>
      </w:r>
      <w:r>
        <w:t>the</w:t>
      </w:r>
      <w:r w:rsidR="006D14CD">
        <w:t xml:space="preserve"> </w:t>
      </w:r>
      <w:r>
        <w:t>CEO,</w:t>
      </w:r>
      <w:r w:rsidR="006D14CD">
        <w:t xml:space="preserve"> </w:t>
      </w:r>
      <w:r>
        <w:t>and</w:t>
      </w:r>
      <w:r w:rsidR="006D14CD">
        <w:t xml:space="preserve"> </w:t>
      </w:r>
      <w:r>
        <w:t>individual</w:t>
      </w:r>
      <w:r w:rsidR="006D14CD">
        <w:t xml:space="preserve"> </w:t>
      </w:r>
      <w:r>
        <w:t>Board</w:t>
      </w:r>
      <w:r w:rsidR="006D14CD">
        <w:t xml:space="preserve"> </w:t>
      </w:r>
      <w:r>
        <w:t>members,</w:t>
      </w:r>
      <w:r w:rsidR="006D14CD">
        <w:t xml:space="preserve"> </w:t>
      </w:r>
      <w:r>
        <w:t>for recommending Board members to individual committees.  In making such recommendation to the Board, the Nominating and Corporate Governance Committee will take into consideration (a) individual skill sets and preferences, (b) the number of years a Board member has served on a particular committee and (c) any requirements of committee charters and applicable laws and regulations.  The Board does not believe that rotating committee members at set intervals should be mandated as a policy since there may be reasons at a given point in time to maintain an individual Board member</w:t>
      </w:r>
      <w:r w:rsidR="00E871FB">
        <w:t>’</w:t>
      </w:r>
      <w:r>
        <w:t>s committee membership for a longer period.  However, for the Board</w:t>
      </w:r>
      <w:r w:rsidR="00E871FB">
        <w:t>’</w:t>
      </w:r>
      <w:r>
        <w:t xml:space="preserve">s standing committees, the Nominating and Corporate Governance Committee should consider recommending a new member to each committee every three years, and </w:t>
      </w:r>
      <w:r w:rsidR="009913AD">
        <w:t xml:space="preserve">consider recommending the rotation of </w:t>
      </w:r>
      <w:r>
        <w:t xml:space="preserve">the </w:t>
      </w:r>
      <w:r w:rsidR="00181FEE">
        <w:t>Chair</w:t>
      </w:r>
      <w:r>
        <w:t xml:space="preserve"> of a committee as appropriate.  These guidelines may be extended under appropriate circumstances.</w:t>
      </w:r>
    </w:p>
    <w:p w14:paraId="18D3377D" w14:textId="77777777" w:rsidR="006A315F" w:rsidRDefault="006A315F" w:rsidP="006D14CD">
      <w:pPr>
        <w:pStyle w:val="Heading1"/>
      </w:pPr>
      <w:bookmarkStart w:id="6" w:name="_Toc169774789"/>
      <w:r>
        <w:t>Committee Agenda</w:t>
      </w:r>
      <w:bookmarkEnd w:id="6"/>
    </w:p>
    <w:p w14:paraId="7A046A7B" w14:textId="19F08A88" w:rsidR="006A315F" w:rsidRDefault="006A315F" w:rsidP="006A315F">
      <w:pPr>
        <w:pStyle w:val="BodyTextFirstIndent"/>
      </w:pPr>
      <w:r>
        <w:t>The</w:t>
      </w:r>
      <w:r w:rsidR="006D14CD">
        <w:t xml:space="preserve"> </w:t>
      </w:r>
      <w:r w:rsidR="00181FEE">
        <w:t>Chair</w:t>
      </w:r>
      <w:r w:rsidR="006D14CD">
        <w:t xml:space="preserve"> </w:t>
      </w:r>
      <w:r>
        <w:t>of</w:t>
      </w:r>
      <w:r w:rsidR="006D14CD">
        <w:t xml:space="preserve"> </w:t>
      </w:r>
      <w:r>
        <w:t>each</w:t>
      </w:r>
      <w:r w:rsidR="006D14CD">
        <w:t xml:space="preserve"> </w:t>
      </w:r>
      <w:r>
        <w:t>committee,</w:t>
      </w:r>
      <w:r w:rsidR="006D14CD">
        <w:t xml:space="preserve"> </w:t>
      </w:r>
      <w:r>
        <w:t>in</w:t>
      </w:r>
      <w:r w:rsidR="006D14CD">
        <w:t xml:space="preserve"> </w:t>
      </w:r>
      <w:r>
        <w:t>consultation</w:t>
      </w:r>
      <w:r w:rsidR="006D14CD">
        <w:t xml:space="preserve"> </w:t>
      </w:r>
      <w:r>
        <w:t>with</w:t>
      </w:r>
      <w:r w:rsidR="006D14CD">
        <w:t xml:space="preserve"> </w:t>
      </w:r>
      <w:r>
        <w:t>the</w:t>
      </w:r>
      <w:r w:rsidR="006D14CD">
        <w:t xml:space="preserve"> </w:t>
      </w:r>
      <w:r>
        <w:t>appropriate</w:t>
      </w:r>
      <w:r w:rsidR="006D14CD">
        <w:t xml:space="preserve"> </w:t>
      </w:r>
      <w:r>
        <w:t>members</w:t>
      </w:r>
      <w:r w:rsidR="006D14CD">
        <w:t xml:space="preserve"> </w:t>
      </w:r>
      <w:r>
        <w:t>of Management and staff, will develop the committee</w:t>
      </w:r>
      <w:r w:rsidR="00E871FB">
        <w:t>’</w:t>
      </w:r>
      <w:r>
        <w:t>s agenda.</w:t>
      </w:r>
    </w:p>
    <w:p w14:paraId="1675FA1B" w14:textId="77777777" w:rsidR="006A315F" w:rsidRDefault="006A315F" w:rsidP="006A315F">
      <w:pPr>
        <w:pStyle w:val="BodyTextFirstIndent"/>
      </w:pPr>
      <w:r>
        <w:t>Each committee will issue a schedule of agenda subjects to be discussed annually or, as necessary, at each meeting.</w:t>
      </w:r>
    </w:p>
    <w:p w14:paraId="47089661" w14:textId="77777777" w:rsidR="006A315F" w:rsidRDefault="006A315F" w:rsidP="006D14CD">
      <w:pPr>
        <w:pStyle w:val="Heading1"/>
      </w:pPr>
      <w:bookmarkStart w:id="7" w:name="_Toc169774790"/>
      <w:r>
        <w:t>Selection of Agenda Items for Board Meetings</w:t>
      </w:r>
      <w:bookmarkEnd w:id="7"/>
    </w:p>
    <w:p w14:paraId="2F7DE666" w14:textId="085EB966" w:rsidR="006A315F" w:rsidRDefault="006A315F" w:rsidP="006A315F">
      <w:pPr>
        <w:pStyle w:val="BodyTextFirstIndent"/>
      </w:pPr>
      <w:r>
        <w:t xml:space="preserve">The </w:t>
      </w:r>
      <w:r w:rsidR="00181FEE">
        <w:t>Chair</w:t>
      </w:r>
      <w:r>
        <w:t xml:space="preserve"> shall establish the agenda for each Board meeting in consultation with the </w:t>
      </w:r>
      <w:r w:rsidR="00D74A6B">
        <w:t xml:space="preserve">CEO and </w:t>
      </w:r>
      <w:r>
        <w:t>Lead Director</w:t>
      </w:r>
      <w:r w:rsidR="00F42F9A">
        <w:t>, if any</w:t>
      </w:r>
      <w:r>
        <w:t>.  Directors may add topics to the agenda and the Lead Director</w:t>
      </w:r>
      <w:r w:rsidR="00F42F9A">
        <w:t>, if any,</w:t>
      </w:r>
      <w:r>
        <w:t xml:space="preserve"> may add topics to be covered in Executive Sessions of the Board.  The </w:t>
      </w:r>
      <w:r w:rsidR="00181FEE">
        <w:t>Chair</w:t>
      </w:r>
      <w:r>
        <w:t xml:space="preserve"> may solicit from Directors any additional items they feel should be covered.  In the event that a Lead Director calls a meeting of the Board or the non-</w:t>
      </w:r>
      <w:r w:rsidR="0073027B">
        <w:t>M</w:t>
      </w:r>
      <w:r>
        <w:t>anagement or Independent Directors, the Lead Director shall establish the agenda for such meeting and may solicit from Directors any additional items they feel should be covered.</w:t>
      </w:r>
    </w:p>
    <w:p w14:paraId="0BFCA4C2" w14:textId="77777777" w:rsidR="006A315F" w:rsidRDefault="006A315F" w:rsidP="006D14CD">
      <w:pPr>
        <w:pStyle w:val="Heading1"/>
      </w:pPr>
      <w:bookmarkStart w:id="8" w:name="_Toc169774791"/>
      <w:r>
        <w:t>Board Materials Distributed in Advance</w:t>
      </w:r>
      <w:bookmarkEnd w:id="8"/>
    </w:p>
    <w:p w14:paraId="764967D0" w14:textId="77777777" w:rsidR="006A315F" w:rsidRDefault="006A315F" w:rsidP="006A315F">
      <w:pPr>
        <w:pStyle w:val="BodyTextFirstIndent"/>
      </w:pPr>
      <w:r>
        <w:t>Information and data that is important to the Board</w:t>
      </w:r>
      <w:r w:rsidR="00E871FB">
        <w:t>’</w:t>
      </w:r>
      <w:r>
        <w:t>s understanding of the agenda items to be covered at each Board meeting will be distributed electronically and/or in writing to the Directors before the Board meets</w:t>
      </w:r>
      <w:r w:rsidR="006D14CD">
        <w:t xml:space="preserve">.  </w:t>
      </w:r>
      <w:r>
        <w:t>Management will see that this material is as concise as possible while still providing the desired information.</w:t>
      </w:r>
    </w:p>
    <w:p w14:paraId="79207F62" w14:textId="77777777" w:rsidR="006A315F" w:rsidRDefault="006A315F" w:rsidP="006A315F">
      <w:pPr>
        <w:pStyle w:val="BodyTextFirstIndent"/>
      </w:pPr>
      <w:r>
        <w:t>As a general rule, presentations on specific subjects will be sent to the Directors in advance so that the Board meeting time may be conserved, and discussion time focused on questions that the Board has about the material.</w:t>
      </w:r>
    </w:p>
    <w:p w14:paraId="6EC3D74C" w14:textId="77777777" w:rsidR="006A315F" w:rsidRPr="006D14CD" w:rsidRDefault="006A315F" w:rsidP="006D14CD">
      <w:pPr>
        <w:pStyle w:val="Heading1"/>
      </w:pPr>
      <w:bookmarkStart w:id="9" w:name="_Toc169774792"/>
      <w:r w:rsidRPr="006D14CD">
        <w:lastRenderedPageBreak/>
        <w:t>Regular Attendance of Non-Directors at Board Meetings</w:t>
      </w:r>
      <w:bookmarkEnd w:id="9"/>
    </w:p>
    <w:p w14:paraId="6A2772D2" w14:textId="783FE4BD" w:rsidR="006A315F" w:rsidRDefault="006A315F" w:rsidP="006A315F">
      <w:pPr>
        <w:pStyle w:val="BodyTextFirstIndent"/>
      </w:pPr>
      <w:r>
        <w:t xml:space="preserve">Board meetings will typically be limited to Directors, the corporate secretary and invited Officers and managers, as well as other participants who are invited by the </w:t>
      </w:r>
      <w:r w:rsidR="00181FEE">
        <w:t>Chair</w:t>
      </w:r>
      <w:r>
        <w:t xml:space="preserve"> or Lead Director, except during Executive Sessions of the Board.</w:t>
      </w:r>
    </w:p>
    <w:p w14:paraId="066CD801" w14:textId="77777777" w:rsidR="006A315F" w:rsidRDefault="006A315F" w:rsidP="006D14CD">
      <w:pPr>
        <w:pStyle w:val="Heading1"/>
      </w:pPr>
      <w:bookmarkStart w:id="10" w:name="_Toc169774793"/>
      <w:r>
        <w:t>Executive Sessions of the Board</w:t>
      </w:r>
      <w:bookmarkEnd w:id="10"/>
    </w:p>
    <w:p w14:paraId="18A75F8E" w14:textId="77777777" w:rsidR="006A315F" w:rsidRDefault="006A315F" w:rsidP="006A315F">
      <w:pPr>
        <w:pStyle w:val="BodyTextFirstIndent"/>
      </w:pPr>
      <w:r>
        <w:t>The Board shall, during each Board meeting, conduct Executive Sessions of the non-</w:t>
      </w:r>
      <w:r w:rsidR="0073027B">
        <w:t>M</w:t>
      </w:r>
      <w:r>
        <w:t>anagement members of the Board without the members of Management present</w:t>
      </w:r>
      <w:r w:rsidR="006D14CD">
        <w:t xml:space="preserve">.  </w:t>
      </w:r>
      <w:r>
        <w:t>If the non-</w:t>
      </w:r>
      <w:r w:rsidR="0073027B">
        <w:t>M</w:t>
      </w:r>
      <w:r>
        <w:t>anagement session includes Directors who are not Independent, the Independent Directors shall meet at least once a year in executive session.</w:t>
      </w:r>
    </w:p>
    <w:p w14:paraId="68097F1C" w14:textId="77777777" w:rsidR="006A315F" w:rsidRDefault="006A315F" w:rsidP="006D14CD">
      <w:pPr>
        <w:pStyle w:val="Heading1"/>
      </w:pPr>
      <w:bookmarkStart w:id="11" w:name="_Toc169774794"/>
      <w:r>
        <w:t>Board Access to Senior Management</w:t>
      </w:r>
      <w:bookmarkEnd w:id="11"/>
    </w:p>
    <w:p w14:paraId="4F5E3BAC" w14:textId="77777777" w:rsidR="006A315F" w:rsidRDefault="006A315F" w:rsidP="006A315F">
      <w:pPr>
        <w:pStyle w:val="BodyTextFirstIndent"/>
      </w:pPr>
      <w:r>
        <w:t>Board members will have complete access to Management for purposes of obtaining any information necessary to the Board</w:t>
      </w:r>
      <w:r w:rsidR="00E871FB">
        <w:t>’</w:t>
      </w:r>
      <w:r>
        <w:t>s functions.</w:t>
      </w:r>
    </w:p>
    <w:p w14:paraId="6D2421E7" w14:textId="77777777" w:rsidR="006A315F" w:rsidRDefault="006A315F" w:rsidP="006A315F">
      <w:pPr>
        <w:pStyle w:val="BodyTextFirstIndent"/>
      </w:pPr>
      <w:r>
        <w:t>Furthermore, the Board encourages Management to, from time to time, invite managers into</w:t>
      </w:r>
      <w:r w:rsidR="006D14CD">
        <w:t xml:space="preserve"> </w:t>
      </w:r>
      <w:r>
        <w:t>Board</w:t>
      </w:r>
      <w:r w:rsidR="006D14CD">
        <w:t xml:space="preserve"> </w:t>
      </w:r>
      <w:r>
        <w:t>meetings</w:t>
      </w:r>
      <w:r w:rsidR="006D14CD">
        <w:t xml:space="preserve"> </w:t>
      </w:r>
      <w:r>
        <w:t>who</w:t>
      </w:r>
      <w:r w:rsidR="006D14CD">
        <w:t xml:space="preserve"> </w:t>
      </w:r>
      <w:r>
        <w:t>(a)</w:t>
      </w:r>
      <w:r w:rsidR="006D14CD">
        <w:t xml:space="preserve"> </w:t>
      </w:r>
      <w:r>
        <w:t>can</w:t>
      </w:r>
      <w:r w:rsidR="006D14CD">
        <w:t xml:space="preserve"> </w:t>
      </w:r>
      <w:r>
        <w:t>provide</w:t>
      </w:r>
      <w:r w:rsidR="006D14CD">
        <w:t xml:space="preserve"> </w:t>
      </w:r>
      <w:r>
        <w:t>additional</w:t>
      </w:r>
      <w:r w:rsidR="006D14CD">
        <w:t xml:space="preserve"> </w:t>
      </w:r>
      <w:r>
        <w:t>insight</w:t>
      </w:r>
      <w:r w:rsidR="006D14CD">
        <w:t xml:space="preserve"> </w:t>
      </w:r>
      <w:r w:rsidR="008425EF">
        <w:t>in</w:t>
      </w:r>
      <w:r>
        <w:t>to</w:t>
      </w:r>
      <w:r w:rsidR="006D14CD">
        <w:t xml:space="preserve"> </w:t>
      </w:r>
      <w:r>
        <w:t>the</w:t>
      </w:r>
      <w:r w:rsidR="006D14CD">
        <w:t xml:space="preserve"> </w:t>
      </w:r>
      <w:r>
        <w:t>items</w:t>
      </w:r>
      <w:r w:rsidR="006D14CD">
        <w:t xml:space="preserve"> </w:t>
      </w:r>
      <w:r>
        <w:t>being</w:t>
      </w:r>
      <w:r w:rsidR="006D14CD">
        <w:t xml:space="preserve"> </w:t>
      </w:r>
      <w:r>
        <w:t>discussed because of personal involvement in these areas, and/or (b) represent managers with executive potential that Management believes should be given exposure to the Board.</w:t>
      </w:r>
    </w:p>
    <w:p w14:paraId="1E3594C1" w14:textId="77777777" w:rsidR="006A315F" w:rsidRDefault="006A315F" w:rsidP="006D14CD">
      <w:pPr>
        <w:pStyle w:val="Heading1"/>
      </w:pPr>
      <w:bookmarkStart w:id="12" w:name="_Toc169774795"/>
      <w:r>
        <w:t>Board Compensation Review</w:t>
      </w:r>
      <w:bookmarkEnd w:id="12"/>
    </w:p>
    <w:p w14:paraId="08987114" w14:textId="023EAA8F" w:rsidR="006A315F" w:rsidRDefault="006A315F" w:rsidP="006A315F">
      <w:pPr>
        <w:pStyle w:val="BodyTextFirstIndent"/>
      </w:pPr>
      <w:r>
        <w:t xml:space="preserve">The </w:t>
      </w:r>
      <w:r w:rsidR="0036038A">
        <w:t xml:space="preserve">independent compensation consultant of the </w:t>
      </w:r>
      <w:r w:rsidR="00C26DEE">
        <w:t xml:space="preserve">Compensation and </w:t>
      </w:r>
      <w:r w:rsidR="00051F28">
        <w:t xml:space="preserve">Human Capital </w:t>
      </w:r>
      <w:r w:rsidR="00C26DEE">
        <w:t xml:space="preserve">Management Committee </w:t>
      </w:r>
      <w:r>
        <w:t xml:space="preserve">should report, from time to time to the </w:t>
      </w:r>
      <w:r w:rsidRPr="00051F28">
        <w:t xml:space="preserve">Compensation and </w:t>
      </w:r>
      <w:r w:rsidR="00987187" w:rsidRPr="00051F28">
        <w:t xml:space="preserve">Human Capital </w:t>
      </w:r>
      <w:r w:rsidRPr="00051F28">
        <w:t>Management Committee</w:t>
      </w:r>
      <w:r w:rsidR="0036038A" w:rsidRPr="00051F28">
        <w:t>,</w:t>
      </w:r>
      <w:r w:rsidRPr="00051F28">
        <w:t xml:space="preserve"> the status of Board compensation in relation to other like companies</w:t>
      </w:r>
      <w:r w:rsidR="006D14CD" w:rsidRPr="00051F28">
        <w:t xml:space="preserve">.  </w:t>
      </w:r>
      <w:r w:rsidRPr="00051F28">
        <w:t xml:space="preserve">Changes in Board compensation, if any, should come at the recommendation of the Compensation and </w:t>
      </w:r>
      <w:r w:rsidR="00051F28" w:rsidRPr="00051F28">
        <w:t xml:space="preserve">Human Capital </w:t>
      </w:r>
      <w:r w:rsidRPr="00051F28">
        <w:t xml:space="preserve">Management </w:t>
      </w:r>
      <w:r>
        <w:t>Committee, but with discussion and approval of the full Board.  Principles for Board compensation are that the compensation should fairly pay Directors for work required in serving on the Board and the various committees, the compensation should align Directors</w:t>
      </w:r>
      <w:r w:rsidR="00E871FB">
        <w:t>’</w:t>
      </w:r>
      <w:r>
        <w:t xml:space="preserve"> interests with the long-term interests of stockholders and the compensation should be transparent and easy for stockholders to understand.  These principles may be accomplished by providing a combination of cash and equity compensation.</w:t>
      </w:r>
    </w:p>
    <w:p w14:paraId="5B36D23F" w14:textId="77777777" w:rsidR="006A315F" w:rsidRDefault="006A315F" w:rsidP="006D14CD">
      <w:pPr>
        <w:pStyle w:val="Heading1"/>
      </w:pPr>
      <w:bookmarkStart w:id="13" w:name="_Toc169774796"/>
      <w:r>
        <w:t>Size of the Board; Attendance</w:t>
      </w:r>
      <w:bookmarkEnd w:id="13"/>
    </w:p>
    <w:p w14:paraId="612CADC0" w14:textId="77777777" w:rsidR="006A315F" w:rsidRDefault="006A315F" w:rsidP="006A315F">
      <w:pPr>
        <w:pStyle w:val="BodyTextFirstIndent"/>
      </w:pPr>
      <w:r>
        <w:t xml:space="preserve">The Board should consider the appropriate size of the Board and fix the number of Directors pursuant to a resolution adopted by a majority of the then-authorized number of Directors as provided in the </w:t>
      </w:r>
      <w:r w:rsidR="0073027B">
        <w:t>Company</w:t>
      </w:r>
      <w:r w:rsidR="00E871FB">
        <w:t>’</w:t>
      </w:r>
      <w:r w:rsidR="00766922">
        <w:t>s Byl</w:t>
      </w:r>
      <w:r>
        <w:t xml:space="preserve">aws.  In no event shall the number of Directors be less </w:t>
      </w:r>
      <w:r w:rsidR="006D14CD">
        <w:t>than</w:t>
      </w:r>
      <w:r>
        <w:t xml:space="preserve"> three</w:t>
      </w:r>
      <w:r w:rsidR="006D14CD">
        <w:t xml:space="preserve">.  </w:t>
      </w:r>
      <w:r>
        <w:t>The Board believes that Directors, to the extent possible, should: (a) attend all Board meetings and all applicable committee meetings, in person or by phone, and in no event should a Director attend less than 75% of Board meetings or applicable committee meetings and (b) participate in the entire meeting.</w:t>
      </w:r>
    </w:p>
    <w:p w14:paraId="0A128A0D" w14:textId="77777777" w:rsidR="006A315F" w:rsidRDefault="006A315F" w:rsidP="006D14CD">
      <w:pPr>
        <w:pStyle w:val="Heading1"/>
      </w:pPr>
      <w:bookmarkStart w:id="14" w:name="_Toc169774797"/>
      <w:r>
        <w:lastRenderedPageBreak/>
        <w:t>Independent Directors</w:t>
      </w:r>
      <w:bookmarkEnd w:id="14"/>
    </w:p>
    <w:p w14:paraId="0446CC66" w14:textId="16313BB6" w:rsidR="006A315F" w:rsidRDefault="006A315F" w:rsidP="006A315F">
      <w:pPr>
        <w:pStyle w:val="BodyTextFirstIndent"/>
      </w:pPr>
      <w:r>
        <w:t>A majority of Directors on the Board will be Independent Directors</w:t>
      </w:r>
      <w:r w:rsidR="006D14CD">
        <w:t xml:space="preserve">.  </w:t>
      </w:r>
      <w:r>
        <w:t>(See Item 14 for the definition of Independent).</w:t>
      </w:r>
    </w:p>
    <w:p w14:paraId="2B1C16F5" w14:textId="584C4427" w:rsidR="006A315F" w:rsidRDefault="006A315F" w:rsidP="006D14CD">
      <w:pPr>
        <w:pStyle w:val="Heading1"/>
      </w:pPr>
      <w:r>
        <w:t>Definition of Independent</w:t>
      </w:r>
    </w:p>
    <w:p w14:paraId="6FA98DCB" w14:textId="33E2FBAF" w:rsidR="006A315F" w:rsidRDefault="006A315F" w:rsidP="006A315F">
      <w:pPr>
        <w:pStyle w:val="BodyTextFirstIndent"/>
      </w:pPr>
      <w:r>
        <w:t xml:space="preserve">An Independent Director is </w:t>
      </w:r>
      <w:r w:rsidR="002F757C">
        <w:t xml:space="preserve">a person other than an </w:t>
      </w:r>
      <w:r w:rsidR="00A94CD1">
        <w:t>O</w:t>
      </w:r>
      <w:r w:rsidR="002F757C">
        <w:t xml:space="preserve">fficer or employee of the </w:t>
      </w:r>
      <w:r w:rsidR="0073027B">
        <w:t>Company</w:t>
      </w:r>
      <w:r w:rsidR="002F757C">
        <w:t xml:space="preserve"> or any other individual having a relationship which, in the opinion of the Board, would interfere with the exercise of independent judgment in carrying out the responsibilities of a </w:t>
      </w:r>
      <w:r w:rsidR="00861D78">
        <w:t>D</w:t>
      </w:r>
      <w:r w:rsidR="002F757C">
        <w:t>irector,</w:t>
      </w:r>
      <w:r>
        <w:t xml:space="preserve"> and who meets both the definition of independence set forth in applicable SEC and N</w:t>
      </w:r>
      <w:r w:rsidR="00DD6657">
        <w:t>asdaq</w:t>
      </w:r>
      <w:r>
        <w:t xml:space="preserve"> regulations and the definition of independence set forth below, which provides that </w:t>
      </w:r>
      <w:r w:rsidR="00432182">
        <w:t>the following persons shall not be considered Independent Directors</w:t>
      </w:r>
      <w:r>
        <w:t>:</w:t>
      </w:r>
      <w:bookmarkStart w:id="15" w:name="_Toc169774799"/>
      <w:bookmarkEnd w:id="15"/>
    </w:p>
    <w:p w14:paraId="56B187F3" w14:textId="08740703" w:rsidR="006A315F" w:rsidRDefault="00612E9B" w:rsidP="006A315F">
      <w:pPr>
        <w:pStyle w:val="Heading2"/>
      </w:pPr>
      <w:r>
        <w:t>A</w:t>
      </w:r>
      <w:r w:rsidR="00432182">
        <w:t xml:space="preserve"> </w:t>
      </w:r>
      <w:r w:rsidR="00861D78">
        <w:t>D</w:t>
      </w:r>
      <w:r w:rsidR="00432182">
        <w:t xml:space="preserve">irector who is, or at any time during the past three (3) years was, employed by the </w:t>
      </w:r>
      <w:r w:rsidR="0073027B">
        <w:t>Company</w:t>
      </w:r>
      <w:r w:rsidR="006A315F">
        <w:t xml:space="preserve">; </w:t>
      </w:r>
      <w:r w:rsidR="006A315F" w:rsidRPr="006A315F">
        <w:rPr>
          <w:i/>
        </w:rPr>
        <w:t>provided</w:t>
      </w:r>
      <w:r w:rsidR="006A315F">
        <w:t xml:space="preserve">, </w:t>
      </w:r>
      <w:r w:rsidR="006A315F" w:rsidRPr="006A315F">
        <w:rPr>
          <w:i/>
        </w:rPr>
        <w:t>however</w:t>
      </w:r>
      <w:r w:rsidR="006A315F">
        <w:t xml:space="preserve">, </w:t>
      </w:r>
      <w:r w:rsidR="002F757C">
        <w:t xml:space="preserve">that employment by a </w:t>
      </w:r>
      <w:r w:rsidR="00861D78">
        <w:t>D</w:t>
      </w:r>
      <w:r w:rsidR="002F757C">
        <w:t xml:space="preserve">irector as an </w:t>
      </w:r>
      <w:r w:rsidR="00A94CD1">
        <w:t>O</w:t>
      </w:r>
      <w:r w:rsidR="002F757C">
        <w:t xml:space="preserve">fficer on an interim basis shall not disqualify that </w:t>
      </w:r>
      <w:r w:rsidR="00861D78">
        <w:t>D</w:t>
      </w:r>
      <w:r w:rsidR="002F757C">
        <w:t>irector from being considered independent following such employment, provided the interim employment did not last longer than one year</w:t>
      </w:r>
      <w:r w:rsidR="006A315F">
        <w:t>;</w:t>
      </w:r>
      <w:bookmarkStart w:id="16" w:name="_Toc169774800"/>
      <w:bookmarkEnd w:id="16"/>
    </w:p>
    <w:p w14:paraId="73B961FF" w14:textId="2D27021A" w:rsidR="002F757C" w:rsidRDefault="00612E9B" w:rsidP="002F757C">
      <w:pPr>
        <w:pStyle w:val="Heading2"/>
      </w:pPr>
      <w:r>
        <w:t>A</w:t>
      </w:r>
      <w:r w:rsidR="002F757C">
        <w:t xml:space="preserve"> </w:t>
      </w:r>
      <w:r w:rsidR="00861D78">
        <w:t>D</w:t>
      </w:r>
      <w:r w:rsidR="002F757C">
        <w:t>irector who accepted</w:t>
      </w:r>
      <w:r w:rsidR="006A315F">
        <w:t xml:space="preserve"> </w:t>
      </w:r>
      <w:r w:rsidR="002F757C">
        <w:t>or has a Family</w:t>
      </w:r>
      <w:r w:rsidR="006A315F">
        <w:t xml:space="preserve"> </w:t>
      </w:r>
      <w:r w:rsidR="002F757C">
        <w:t>M</w:t>
      </w:r>
      <w:r w:rsidR="006A315F">
        <w:t>ember</w:t>
      </w:r>
      <w:r w:rsidR="002F757C">
        <w:t xml:space="preserve"> (defined to mean a person’s spouse, parents, children and siblings, whether by blood, marriage or adoption, or anyone residing in such person’s home) who accepted any compensation from the </w:t>
      </w:r>
      <w:r w:rsidR="0073027B">
        <w:t>Company</w:t>
      </w:r>
      <w:r w:rsidR="002F757C">
        <w:t xml:space="preserve"> in excess of $120,000 during any period of twelve consecutive months within the three years preceding the determination of independence</w:t>
      </w:r>
      <w:r w:rsidR="006A315F">
        <w:t xml:space="preserve">, other than </w:t>
      </w:r>
      <w:r w:rsidR="002F757C">
        <w:t xml:space="preserve">(i) compensation for board or board committee service, (ii) compensation paid to a family member who is an employee (other than an </w:t>
      </w:r>
      <w:r w:rsidR="00A94CD1">
        <w:t>O</w:t>
      </w:r>
      <w:r w:rsidR="002F757C">
        <w:t xml:space="preserve">fficer) of the </w:t>
      </w:r>
      <w:r w:rsidR="0073027B">
        <w:t>Company</w:t>
      </w:r>
      <w:r w:rsidR="002F757C">
        <w:t xml:space="preserve"> or (iii) benefits under a tax-qualified retirement plan, or non-discretionary compensation</w:t>
      </w:r>
      <w:r w:rsidR="006A315F">
        <w:t xml:space="preserve">; </w:t>
      </w:r>
      <w:r w:rsidR="006A315F" w:rsidRPr="006A315F">
        <w:rPr>
          <w:i/>
        </w:rPr>
        <w:t>provided</w:t>
      </w:r>
      <w:r w:rsidR="006A315F">
        <w:t xml:space="preserve">, </w:t>
      </w:r>
      <w:r w:rsidR="006A315F" w:rsidRPr="006A315F">
        <w:rPr>
          <w:i/>
        </w:rPr>
        <w:t>however</w:t>
      </w:r>
      <w:r w:rsidR="006A315F">
        <w:t xml:space="preserve">, that </w:t>
      </w:r>
      <w:r w:rsidR="002F757C">
        <w:t xml:space="preserve">compensation received by a </w:t>
      </w:r>
      <w:r w:rsidR="00861D78">
        <w:t>D</w:t>
      </w:r>
      <w:r w:rsidR="002F757C">
        <w:t xml:space="preserve">irector for former service as an interim </w:t>
      </w:r>
      <w:r w:rsidR="00A94CD1">
        <w:t>O</w:t>
      </w:r>
      <w:r w:rsidR="002F757C">
        <w:t>fficer need not be considered as compensation in determining independence after such service, provided such interim employment did not last longer than one year</w:t>
      </w:r>
      <w:r w:rsidR="006A315F">
        <w:t>;</w:t>
      </w:r>
      <w:bookmarkStart w:id="17" w:name="_Toc169774801"/>
      <w:bookmarkEnd w:id="17"/>
    </w:p>
    <w:p w14:paraId="29F162FB" w14:textId="118DFDEE" w:rsidR="00B93C9A" w:rsidRDefault="00612E9B" w:rsidP="00B93C9A">
      <w:pPr>
        <w:pStyle w:val="Heading2"/>
      </w:pPr>
      <w:r>
        <w:t>A</w:t>
      </w:r>
      <w:r w:rsidR="00B93C9A">
        <w:t xml:space="preserve"> </w:t>
      </w:r>
      <w:r w:rsidR="00861D78">
        <w:t>D</w:t>
      </w:r>
      <w:r w:rsidR="00B93C9A">
        <w:t xml:space="preserve">irector who is a Family Member of an individual who is, or at any time during the past three years was, employed by the </w:t>
      </w:r>
      <w:r w:rsidR="0073027B">
        <w:t>Company</w:t>
      </w:r>
      <w:r w:rsidR="00B93C9A">
        <w:t xml:space="preserve"> as an </w:t>
      </w:r>
      <w:r w:rsidR="00A94CD1">
        <w:t>O</w:t>
      </w:r>
      <w:r w:rsidR="00B93C9A">
        <w:t>fficer;</w:t>
      </w:r>
      <w:bookmarkStart w:id="18" w:name="_Toc169774802"/>
      <w:bookmarkEnd w:id="18"/>
    </w:p>
    <w:p w14:paraId="2C6F0E07" w14:textId="49C6174B" w:rsidR="00B93C9A" w:rsidRDefault="00612E9B" w:rsidP="00B93C9A">
      <w:pPr>
        <w:pStyle w:val="Heading2"/>
      </w:pPr>
      <w:r>
        <w:t>A</w:t>
      </w:r>
      <w:r w:rsidR="00B93C9A">
        <w:t xml:space="preserve"> </w:t>
      </w:r>
      <w:r w:rsidR="00861D78">
        <w:t>D</w:t>
      </w:r>
      <w:r w:rsidR="00B93C9A">
        <w:t xml:space="preserve">irector who is, or has a Family Member who is, a partner in, or a controlling shareholder or </w:t>
      </w:r>
      <w:r w:rsidR="00861D78">
        <w:t>executive officer</w:t>
      </w:r>
      <w:r w:rsidR="00B93C9A">
        <w:t xml:space="preserve"> of, any organization to which the </w:t>
      </w:r>
      <w:r w:rsidR="0073027B">
        <w:t>Company</w:t>
      </w:r>
      <w:r w:rsidR="00B93C9A">
        <w:t xml:space="preserve"> made, or from which the </w:t>
      </w:r>
      <w:r w:rsidR="0073027B">
        <w:t>Company</w:t>
      </w:r>
      <w:r w:rsidR="00B93C9A">
        <w:t xml:space="preserve"> received, payments for property or services in the current or any of the past three fiscal years that exceed 5% of the recipient’s consolidated gross revenues for that year, or $200,000, whichever is more, other than (i) payments arising solely from investments in the </w:t>
      </w:r>
      <w:r w:rsidR="0073027B">
        <w:t>Company</w:t>
      </w:r>
      <w:r w:rsidR="00B93C9A">
        <w:t>’s securities or (ii) payments under non-discretionary charitable contribution matching programs.</w:t>
      </w:r>
      <w:bookmarkStart w:id="19" w:name="_Toc169774803"/>
      <w:bookmarkEnd w:id="19"/>
    </w:p>
    <w:p w14:paraId="3B79EA06" w14:textId="3FABFF61" w:rsidR="00B93C9A" w:rsidRDefault="00612E9B" w:rsidP="00B93C9A">
      <w:pPr>
        <w:pStyle w:val="Heading2"/>
      </w:pPr>
      <w:r>
        <w:t>A</w:t>
      </w:r>
      <w:r w:rsidR="00B93C9A">
        <w:t xml:space="preserve"> </w:t>
      </w:r>
      <w:r w:rsidR="00861D78">
        <w:t>D</w:t>
      </w:r>
      <w:r w:rsidR="00B93C9A">
        <w:t xml:space="preserve">irector of the </w:t>
      </w:r>
      <w:r w:rsidR="0073027B">
        <w:t>Company</w:t>
      </w:r>
      <w:r w:rsidR="00B93C9A">
        <w:t xml:space="preserve"> who is, or has a Family Member who is, employed as an executive officer of another entity where at any time during the last three years any of the </w:t>
      </w:r>
      <w:r w:rsidR="00A94CD1">
        <w:t>O</w:t>
      </w:r>
      <w:r w:rsidR="00B93C9A">
        <w:t xml:space="preserve">fficers of the </w:t>
      </w:r>
      <w:r w:rsidR="0073027B">
        <w:t>Company</w:t>
      </w:r>
      <w:r w:rsidR="00B93C9A">
        <w:t xml:space="preserve"> serve on the compensation committee of such other entity;</w:t>
      </w:r>
      <w:r w:rsidR="00DD6894">
        <w:t xml:space="preserve"> or</w:t>
      </w:r>
      <w:bookmarkStart w:id="20" w:name="_Toc169774804"/>
      <w:bookmarkEnd w:id="20"/>
    </w:p>
    <w:p w14:paraId="4F13CCF5" w14:textId="72A480BF" w:rsidR="00B93C9A" w:rsidRPr="00B93C9A" w:rsidRDefault="00612E9B" w:rsidP="00B93C9A">
      <w:pPr>
        <w:pStyle w:val="Heading2"/>
      </w:pPr>
      <w:r>
        <w:lastRenderedPageBreak/>
        <w:t>A</w:t>
      </w:r>
      <w:r w:rsidR="00B93C9A">
        <w:t xml:space="preserve"> </w:t>
      </w:r>
      <w:r w:rsidR="00861D78">
        <w:t>D</w:t>
      </w:r>
      <w:r w:rsidR="00B93C9A">
        <w:t xml:space="preserve">irector who is, or has a Family member who is, a current partner of the </w:t>
      </w:r>
      <w:r w:rsidR="0073027B">
        <w:t>Company</w:t>
      </w:r>
      <w:r w:rsidR="00B93C9A">
        <w:t xml:space="preserve">’s outside auditor, or was a partner or employee of the </w:t>
      </w:r>
      <w:r w:rsidR="0073027B">
        <w:t>Company</w:t>
      </w:r>
      <w:r w:rsidR="00B93C9A">
        <w:t xml:space="preserve">’s outside auditor who worked on the </w:t>
      </w:r>
      <w:r w:rsidR="0073027B">
        <w:t>Company</w:t>
      </w:r>
      <w:r w:rsidR="00B93C9A">
        <w:t>’s audit at any time during any of the past three years.</w:t>
      </w:r>
      <w:bookmarkStart w:id="21" w:name="_Toc169774805"/>
      <w:bookmarkEnd w:id="21"/>
    </w:p>
    <w:p w14:paraId="45AAB89B" w14:textId="7CDC3DB2" w:rsidR="006A315F" w:rsidRDefault="006A315F" w:rsidP="006A315F">
      <w:pPr>
        <w:pStyle w:val="BodyTextFirstIndent"/>
      </w:pPr>
      <w:r>
        <w:t xml:space="preserve">Notwithstanding the above minimum criteria, no Director shall qualify as </w:t>
      </w:r>
      <w:r w:rsidR="00E871FB">
        <w:t>“</w:t>
      </w:r>
      <w:r>
        <w:t>Independent</w:t>
      </w:r>
      <w:r w:rsidR="00E871FB">
        <w:t>”</w:t>
      </w:r>
      <w:r>
        <w:t xml:space="preserve"> unless the Board affirmatively determines that the Director has no material relationship with the </w:t>
      </w:r>
      <w:r w:rsidR="0073027B">
        <w:t>Company</w:t>
      </w:r>
      <w:r>
        <w:t xml:space="preserve"> (either directly or as a partner, stockholder, or </w:t>
      </w:r>
      <w:r w:rsidR="00861D78">
        <w:t xml:space="preserve">executive </w:t>
      </w:r>
      <w:r>
        <w:t xml:space="preserve">officer of an organization that has a relationship with the </w:t>
      </w:r>
      <w:r w:rsidR="0073027B">
        <w:t>Company</w:t>
      </w:r>
      <w:r>
        <w:t xml:space="preserve">).  </w:t>
      </w:r>
      <w:bookmarkStart w:id="22" w:name="_Toc169774806"/>
      <w:bookmarkEnd w:id="22"/>
    </w:p>
    <w:p w14:paraId="4178F7D6" w14:textId="77777777" w:rsidR="006A315F" w:rsidRDefault="006A315F" w:rsidP="006D14CD">
      <w:pPr>
        <w:pStyle w:val="Heading1"/>
      </w:pPr>
      <w:bookmarkStart w:id="23" w:name="_Toc169774807"/>
      <w:r>
        <w:t>Former CEO</w:t>
      </w:r>
      <w:r w:rsidR="00E871FB">
        <w:t>’</w:t>
      </w:r>
      <w:r>
        <w:t>s Board Membership</w:t>
      </w:r>
      <w:bookmarkEnd w:id="23"/>
    </w:p>
    <w:p w14:paraId="58C8AB4D" w14:textId="77777777" w:rsidR="006A315F" w:rsidRDefault="006A315F" w:rsidP="006A315F">
      <w:pPr>
        <w:pStyle w:val="BodyTextFirstIndent"/>
      </w:pPr>
      <w:r>
        <w:t xml:space="preserve">When a Director who serves as the </w:t>
      </w:r>
      <w:r w:rsidR="0073027B">
        <w:t>Company</w:t>
      </w:r>
      <w:r w:rsidR="00E871FB">
        <w:t>’</w:t>
      </w:r>
      <w:r>
        <w:t>s CEO resigns from the CEO position, he or she should offer his or her resignation from the Board at the same time.  It is not the sense of the Board, however, that such a Director should necessarily leave the Board.  Therefore, there should be an opportunity for the full Board, after preliminary review by the Nominating and Corporate Governance Committee, to review the appropriateness of continued Board membership under these circumstances.</w:t>
      </w:r>
    </w:p>
    <w:p w14:paraId="25608BA8" w14:textId="77777777" w:rsidR="006A315F" w:rsidRDefault="006A315F" w:rsidP="006D14CD">
      <w:pPr>
        <w:pStyle w:val="Heading1"/>
      </w:pPr>
      <w:bookmarkStart w:id="24" w:name="_Toc169774808"/>
      <w:r>
        <w:t>Board Membership Criteria</w:t>
      </w:r>
      <w:bookmarkEnd w:id="24"/>
    </w:p>
    <w:p w14:paraId="03DA67FA" w14:textId="77777777" w:rsidR="006A315F" w:rsidRDefault="006A315F" w:rsidP="006A315F">
      <w:pPr>
        <w:pStyle w:val="BodyTextFirstIndent"/>
      </w:pPr>
      <w:r>
        <w:t xml:space="preserve">The Nominating and Corporate Governance Committee is responsible for reviewing with the Board, on an annual basis, the independence, skills and characteristics of individual Board members and the skills and characteristics of the Board as a whole in making its recommendations for nominees for Directors.  While the </w:t>
      </w:r>
      <w:r w:rsidR="0073027B">
        <w:t>Company</w:t>
      </w:r>
      <w:r>
        <w:t xml:space="preserve"> has no fixed minimum qualifications to be a Director, the following attributes should be taken into consideration when evaluating the recommendation of all incumbent Directors or individuals proposed for Board membership, whether suggested by the Board</w:t>
      </w:r>
      <w:r w:rsidR="00E871FB">
        <w:t>’</w:t>
      </w:r>
      <w:r>
        <w:t xml:space="preserve">s Nominating and Corporate Governance Committee, other Directors of the </w:t>
      </w:r>
      <w:r w:rsidR="0073027B">
        <w:t>Company</w:t>
      </w:r>
      <w:r>
        <w:t xml:space="preserve"> or any other source, including stockholder recommendations, for consideration for nomination to the Board.</w:t>
      </w:r>
    </w:p>
    <w:p w14:paraId="6CD3A148" w14:textId="77777777" w:rsidR="006A315F" w:rsidRDefault="006A315F" w:rsidP="006A315F">
      <w:pPr>
        <w:pStyle w:val="BodyTextFirstIndent"/>
      </w:pPr>
      <w:r>
        <w:t xml:space="preserve">Members of the Board should have the highest professional and personal ethics and values that are consistent with the longstanding values and standards of the </w:t>
      </w:r>
      <w:r w:rsidR="0073027B">
        <w:t>Company</w:t>
      </w:r>
      <w:r>
        <w:t>.  They should have broad experience at the policy-making level in business, government, education, technology or public interest</w:t>
      </w:r>
      <w:r w:rsidR="006D14CD">
        <w:t xml:space="preserve">.  </w:t>
      </w:r>
      <w:r>
        <w:t>They should be committed to enhancing stockholder value and should have sufficient time to carry out their duties and to provide insight and practical wisdom based on experience</w:t>
      </w:r>
      <w:r w:rsidR="006D14CD">
        <w:t xml:space="preserve">.  </w:t>
      </w:r>
      <w:r>
        <w:t>Their service on other boards of public companies should be limited to a number that permits them, given their individual circumstances, to perform and carry-out all director duties in a responsible manner.  Each Director must represent the interests of all stockholders.</w:t>
      </w:r>
    </w:p>
    <w:p w14:paraId="0DDF4198" w14:textId="573F3DE5" w:rsidR="007F784A" w:rsidRDefault="007F784A" w:rsidP="004150E7">
      <w:pPr>
        <w:pStyle w:val="BodyTextFirstIndent"/>
      </w:pPr>
      <w:r w:rsidRPr="007F784A">
        <w:t xml:space="preserve">The </w:t>
      </w:r>
      <w:r>
        <w:t xml:space="preserve">Company </w:t>
      </w:r>
      <w:r w:rsidRPr="007F784A">
        <w:t>believes that directors who are full-time employees of other companies</w:t>
      </w:r>
      <w:r>
        <w:t xml:space="preserve"> </w:t>
      </w:r>
      <w:r w:rsidRPr="007F784A">
        <w:t xml:space="preserve">should not serve on more </w:t>
      </w:r>
      <w:r w:rsidRPr="00051F28">
        <w:t>than three public company boards</w:t>
      </w:r>
      <w:r w:rsidRPr="007F784A">
        <w:t xml:space="preserve"> at one</w:t>
      </w:r>
      <w:r w:rsidR="009E189C">
        <w:t xml:space="preserve"> </w:t>
      </w:r>
      <w:r w:rsidRPr="007F784A">
        <w:t>time</w:t>
      </w:r>
      <w:r w:rsidR="00905857">
        <w:t xml:space="preserve"> (including the Company’s Board)</w:t>
      </w:r>
      <w:r w:rsidRPr="007F784A">
        <w:t>, and that directors who are retired from full-time employment should not serve on more than four public company boards</w:t>
      </w:r>
      <w:r w:rsidR="0036038A">
        <w:t xml:space="preserve"> (including the Company’s Board)</w:t>
      </w:r>
      <w:r w:rsidRPr="007F784A">
        <w:t>. Additionally, a director who is a member of the Audit Committee cannot sit on more than three public company audit committees without the approval of the full Board</w:t>
      </w:r>
      <w:r w:rsidR="004150E7">
        <w:t xml:space="preserve"> and unless such member is a </w:t>
      </w:r>
      <w:r w:rsidR="004150E7">
        <w:lastRenderedPageBreak/>
        <w:t xml:space="preserve">retired certified public accountant, chief financial officer, </w:t>
      </w:r>
      <w:r w:rsidR="00C110AE">
        <w:t xml:space="preserve">or </w:t>
      </w:r>
      <w:r w:rsidR="004150E7">
        <w:t xml:space="preserve">controller or </w:t>
      </w:r>
      <w:r w:rsidR="00C110AE">
        <w:t>held a similar position</w:t>
      </w:r>
      <w:r w:rsidRPr="007F784A">
        <w:t>. A director</w:t>
      </w:r>
      <w:r>
        <w:t xml:space="preserve"> </w:t>
      </w:r>
      <w:r w:rsidRPr="007F784A">
        <w:t>may not serve on a board of a competitor or a company with a significant</w:t>
      </w:r>
      <w:r>
        <w:t xml:space="preserve"> </w:t>
      </w:r>
      <w:r w:rsidRPr="007F784A">
        <w:t xml:space="preserve">competitive line of products </w:t>
      </w:r>
      <w:r w:rsidR="004613F6">
        <w:t xml:space="preserve">to those </w:t>
      </w:r>
      <w:r w:rsidRPr="007F784A">
        <w:t>offered by Varex.</w:t>
      </w:r>
      <w:r>
        <w:t xml:space="preserve"> </w:t>
      </w:r>
    </w:p>
    <w:p w14:paraId="48E41034" w14:textId="1BAE7708" w:rsidR="006A315F" w:rsidRDefault="006A315F" w:rsidP="007F784A">
      <w:pPr>
        <w:pStyle w:val="BodyTextFirstIndent"/>
      </w:pPr>
      <w:r>
        <w:t xml:space="preserve">Should a </w:t>
      </w:r>
      <w:r w:rsidR="00861D78">
        <w:t>D</w:t>
      </w:r>
      <w:r>
        <w:t xml:space="preserve">irector wish to serve on the board of directors of a for-profit entity other than </w:t>
      </w:r>
      <w:r w:rsidR="003469CB">
        <w:t>Varex</w:t>
      </w:r>
      <w:r>
        <w:t xml:space="preserve"> or a significant non-profit organization, such </w:t>
      </w:r>
      <w:r w:rsidR="00861D78">
        <w:t>D</w:t>
      </w:r>
      <w:r>
        <w:t xml:space="preserve">irector should first verify with the </w:t>
      </w:r>
      <w:r w:rsidR="00181FEE">
        <w:t>Chair</w:t>
      </w:r>
      <w:r>
        <w:t xml:space="preserve"> of the Board, </w:t>
      </w:r>
      <w:r w:rsidR="00181FEE">
        <w:t>Chair</w:t>
      </w:r>
      <w:r>
        <w:t xml:space="preserve"> of the Nominating and Corporate Governance Committee, and the Legal Department that no conflicts of interest with such other entity or organization exist and that such other service would not otherwise compromise the </w:t>
      </w:r>
      <w:r w:rsidR="00861D78">
        <w:t>D</w:t>
      </w:r>
      <w:r>
        <w:t>irector</w:t>
      </w:r>
      <w:r w:rsidR="00E871FB">
        <w:t>’</w:t>
      </w:r>
      <w:r>
        <w:t xml:space="preserve">s service on the </w:t>
      </w:r>
      <w:r w:rsidR="003469CB">
        <w:t>Varex</w:t>
      </w:r>
      <w:r>
        <w:t xml:space="preserve"> Board.</w:t>
      </w:r>
    </w:p>
    <w:p w14:paraId="704E6644" w14:textId="77777777" w:rsidR="006A315F" w:rsidRDefault="006A315F" w:rsidP="006A315F">
      <w:pPr>
        <w:pStyle w:val="BodyTextFirstIndent"/>
      </w:pPr>
      <w:r>
        <w:t>Additional factors that are to be considered in evaluating potential director candidates include, but are not limited to, the following:</w:t>
      </w:r>
    </w:p>
    <w:p w14:paraId="0AB63492" w14:textId="77777777" w:rsidR="006A315F" w:rsidRDefault="006A315F" w:rsidP="006A315F">
      <w:pPr>
        <w:pStyle w:val="Heading2"/>
      </w:pPr>
      <w:r>
        <w:t>Potential candidates that help ensure that the Board has the benefit of a wide range of attributes, including cultural, gender and ethnic diversity, international business experience, experience in industries beyond healthcare, and age diversity;</w:t>
      </w:r>
    </w:p>
    <w:p w14:paraId="0B0B6DE1" w14:textId="77777777" w:rsidR="006A315F" w:rsidRDefault="006A315F" w:rsidP="006A315F">
      <w:pPr>
        <w:pStyle w:val="Heading2"/>
      </w:pPr>
      <w:r>
        <w:t>Potential candidates with financial oversight experience, financial community experience and a good reputation with the financial community;</w:t>
      </w:r>
    </w:p>
    <w:p w14:paraId="508303FD" w14:textId="77777777" w:rsidR="006A315F" w:rsidRDefault="006A315F" w:rsidP="006A315F">
      <w:pPr>
        <w:pStyle w:val="Heading2"/>
      </w:pPr>
      <w:r>
        <w:t>Potential candidates with business management experience and the potential to succeed top management in the event Board intervention is necessary on an unexpected basis;</w:t>
      </w:r>
    </w:p>
    <w:p w14:paraId="4D3CE40A" w14:textId="77777777" w:rsidR="006A315F" w:rsidRDefault="006A315F" w:rsidP="006A315F">
      <w:pPr>
        <w:pStyle w:val="Heading2"/>
      </w:pPr>
      <w:r>
        <w:t xml:space="preserve">Potential candidates with contacts, business knowledge and influence that may be useful to the </w:t>
      </w:r>
      <w:r w:rsidR="0073027B">
        <w:t>Company</w:t>
      </w:r>
      <w:r w:rsidR="00E871FB">
        <w:t>’</w:t>
      </w:r>
      <w:r>
        <w:t>s businesses and product lines; and</w:t>
      </w:r>
    </w:p>
    <w:p w14:paraId="34053963" w14:textId="77777777" w:rsidR="006A315F" w:rsidRDefault="006A315F" w:rsidP="006A315F">
      <w:pPr>
        <w:pStyle w:val="Heading2"/>
      </w:pPr>
      <w:r>
        <w:t xml:space="preserve">Potential candidates with knowledge about the </w:t>
      </w:r>
      <w:r w:rsidR="0073027B">
        <w:t>Company</w:t>
      </w:r>
      <w:r w:rsidR="00E871FB">
        <w:t>’</w:t>
      </w:r>
      <w:r>
        <w:t>s industries and technologies.</w:t>
      </w:r>
    </w:p>
    <w:p w14:paraId="47775811" w14:textId="77777777" w:rsidR="006A315F" w:rsidRDefault="006A315F" w:rsidP="006D14CD">
      <w:pPr>
        <w:pStyle w:val="Heading1"/>
      </w:pPr>
      <w:bookmarkStart w:id="25" w:name="_Toc169774809"/>
      <w:r>
        <w:t>Selection and Evaluation of New Director Candidates</w:t>
      </w:r>
      <w:bookmarkEnd w:id="25"/>
    </w:p>
    <w:p w14:paraId="487A5A7E" w14:textId="77777777" w:rsidR="006A315F" w:rsidRDefault="006A315F" w:rsidP="006A315F">
      <w:pPr>
        <w:pStyle w:val="BodyTextFirstIndent"/>
      </w:pPr>
      <w:r>
        <w:t>The Board is responsible for selecting new members to join the Board and will either elect such new member to fill a vacant seat or recommend nominees for directorships to the stockholders for election at an Annual Meeting of Stockholders</w:t>
      </w:r>
      <w:r w:rsidR="006D14CD">
        <w:t xml:space="preserve">.  </w:t>
      </w:r>
      <w:r>
        <w:t>The Board has delegated to the Nominating and Corporate Governance Committee the responsibility for identifying, evaluating and recommending potential director nominees to the Board and determining the policy and process for identifying and evaluating potential candidates for nomination to directorships, including candidates recommended by stockholders.</w:t>
      </w:r>
    </w:p>
    <w:p w14:paraId="18EE7735" w14:textId="77777777" w:rsidR="006A315F" w:rsidRDefault="006A315F" w:rsidP="006A315F">
      <w:pPr>
        <w:pStyle w:val="BodyTextFirstIndent"/>
      </w:pPr>
      <w:r>
        <w:t xml:space="preserve">It is the policy of the Nominating and Corporate Governance Committee to consider potential candidates for directorships recommended by stockholders.  A stockholder may recommend a potential candidate for directorship by notifying </w:t>
      </w:r>
      <w:r w:rsidR="00343487">
        <w:t xml:space="preserve">the </w:t>
      </w:r>
      <w:r w:rsidR="0073027B">
        <w:t>Company</w:t>
      </w:r>
      <w:r w:rsidR="00343487">
        <w:t xml:space="preserve">’s </w:t>
      </w:r>
      <w:r>
        <w:t xml:space="preserve">Secretary in writing at the </w:t>
      </w:r>
      <w:r w:rsidR="0073027B">
        <w:t>Company</w:t>
      </w:r>
      <w:r w:rsidR="00E871FB">
        <w:t>’</w:t>
      </w:r>
      <w:r>
        <w:t xml:space="preserve">s headquarters in </w:t>
      </w:r>
      <w:r w:rsidR="00766922">
        <w:t>Salt Lake City, Utah</w:t>
      </w:r>
      <w:r>
        <w:t>.  The recommendation should include the full name, age, business and residence addresses, principal occupation or employment of the potential candidate.</w:t>
      </w:r>
    </w:p>
    <w:p w14:paraId="0F5FE128" w14:textId="77777777" w:rsidR="006A315F" w:rsidRDefault="006A315F" w:rsidP="006A315F">
      <w:pPr>
        <w:pStyle w:val="BodyTextFirstIndent"/>
      </w:pPr>
      <w:r>
        <w:lastRenderedPageBreak/>
        <w:t>The Nominating and Corporate Governance Committee utilizes a variety of methods for identifying and evaluating potential candidates for directorship</w:t>
      </w:r>
      <w:r w:rsidR="006D14CD">
        <w:t xml:space="preserve">.  </w:t>
      </w:r>
      <w:r>
        <w:t>The Nominating and Corporate Governance Committee regularly assesses the appropriate size of the Board, and whether any vacancies</w:t>
      </w:r>
      <w:r w:rsidR="006D14CD">
        <w:t xml:space="preserve"> </w:t>
      </w:r>
      <w:r>
        <w:t>on</w:t>
      </w:r>
      <w:r w:rsidR="006D14CD">
        <w:t xml:space="preserve"> </w:t>
      </w:r>
      <w:r>
        <w:t>the</w:t>
      </w:r>
      <w:r w:rsidR="006D14CD">
        <w:t xml:space="preserve"> </w:t>
      </w:r>
      <w:r>
        <w:t>Board</w:t>
      </w:r>
      <w:r w:rsidR="006D14CD">
        <w:t xml:space="preserve"> </w:t>
      </w:r>
      <w:r>
        <w:t>are</w:t>
      </w:r>
      <w:r w:rsidR="006D14CD">
        <w:t xml:space="preserve"> </w:t>
      </w:r>
      <w:r>
        <w:t>expected</w:t>
      </w:r>
      <w:r w:rsidR="006D14CD">
        <w:t xml:space="preserve"> </w:t>
      </w:r>
      <w:r>
        <w:t>due</w:t>
      </w:r>
      <w:r w:rsidR="006D14CD">
        <w:t xml:space="preserve"> </w:t>
      </w:r>
      <w:r>
        <w:t>to</w:t>
      </w:r>
      <w:r w:rsidR="006D14CD">
        <w:t xml:space="preserve"> </w:t>
      </w:r>
      <w:r>
        <w:t>retirement</w:t>
      </w:r>
      <w:r w:rsidR="006D14CD">
        <w:t xml:space="preserve"> </w:t>
      </w:r>
      <w:r>
        <w:t>or</w:t>
      </w:r>
      <w:r w:rsidR="006D14CD">
        <w:t xml:space="preserve"> </w:t>
      </w:r>
      <w:r>
        <w:t xml:space="preserve">otherwise.  </w:t>
      </w:r>
      <w:r w:rsidR="006D14CD">
        <w:t>In the event that</w:t>
      </w:r>
      <w:r>
        <w:t xml:space="preserve"> vacancies are anticipated, or otherwise arise, the Nominating and Corporate Governance Committee considers various potential candidates for Director.  Potential candidates may come to the attention of the Nominating and Corporate Governance Committee through current Board members, professional search firms, stockholders or others</w:t>
      </w:r>
      <w:r w:rsidR="006D14CD">
        <w:t xml:space="preserve">.  </w:t>
      </w:r>
      <w:r>
        <w:t>These potential candidates are evaluated at regular or special meetings of the Nominating and Corporate Governance Committee, and may be considered at any point during the year</w:t>
      </w:r>
      <w:r w:rsidR="006D14CD">
        <w:t xml:space="preserve">.  </w:t>
      </w:r>
      <w:r>
        <w:t>As described above, the Nominating and Corporate Governance Committee considers potential candidates for directorship that are properly submitted by stockholders, following verification of the stockholder status of persons proposing candidates.</w:t>
      </w:r>
    </w:p>
    <w:p w14:paraId="6C4D7825" w14:textId="42488F04" w:rsidR="006A315F" w:rsidRDefault="006A315F" w:rsidP="006A315F">
      <w:pPr>
        <w:pStyle w:val="BodyTextFirstIndent"/>
      </w:pPr>
      <w:r>
        <w:t>The Nominating and Corporate Governance Committee then considers and evaluates each properly submitted potential candidate for directorship, in a consistent manner without regard to the source of the potential candidate</w:t>
      </w:r>
      <w:r w:rsidR="00E871FB">
        <w:t>’</w:t>
      </w:r>
      <w:r>
        <w:t xml:space="preserve">s submission, in an effort to achieve a balance of knowledge, experience and capability on the Board and to address the Board Membership Criteria (see Item 16 above) and with direct input of the </w:t>
      </w:r>
      <w:r w:rsidR="00181FEE">
        <w:t>Chair</w:t>
      </w:r>
      <w:r>
        <w:t>, the CEO and other Officers as the Nominating and Corporate Governance Committee deems appropriate.  If any materials are provided by a stockholder in connection with the submission of a director candidate, such materials are forwarded to and considered by the Nominating and Corporate Governance Committee</w:t>
      </w:r>
      <w:r w:rsidR="006D14CD">
        <w:t xml:space="preserve">.  </w:t>
      </w:r>
      <w:r>
        <w:t>The Nominating and Corporate Governance Committee also reviews materials provided by professional search firms or other parties in connection with a potential candidate who is not proposed by a stockholder.</w:t>
      </w:r>
    </w:p>
    <w:p w14:paraId="7307219E" w14:textId="77777777" w:rsidR="006A315F" w:rsidRDefault="006A315F" w:rsidP="006A315F">
      <w:pPr>
        <w:pStyle w:val="BodyTextFirstIndent"/>
      </w:pPr>
      <w:r>
        <w:t>New</w:t>
      </w:r>
      <w:r w:rsidR="006D14CD">
        <w:t xml:space="preserve"> </w:t>
      </w:r>
      <w:r>
        <w:t>Directors</w:t>
      </w:r>
      <w:r w:rsidR="006D14CD">
        <w:t xml:space="preserve"> </w:t>
      </w:r>
      <w:r>
        <w:t>will</w:t>
      </w:r>
      <w:r w:rsidR="006D14CD">
        <w:t xml:space="preserve"> </w:t>
      </w:r>
      <w:r>
        <w:t>participate</w:t>
      </w:r>
      <w:r w:rsidR="006D14CD">
        <w:t xml:space="preserve"> </w:t>
      </w:r>
      <w:r>
        <w:t>in</w:t>
      </w:r>
      <w:r w:rsidR="006D14CD">
        <w:t xml:space="preserve"> </w:t>
      </w:r>
      <w:r>
        <w:t>an</w:t>
      </w:r>
      <w:r w:rsidR="006D14CD">
        <w:t xml:space="preserve"> </w:t>
      </w:r>
      <w:r>
        <w:t>orientation</w:t>
      </w:r>
      <w:r w:rsidR="006D14CD">
        <w:t xml:space="preserve"> </w:t>
      </w:r>
      <w:r>
        <w:t>program,</w:t>
      </w:r>
      <w:r w:rsidR="006D14CD">
        <w:t xml:space="preserve"> </w:t>
      </w:r>
      <w:r>
        <w:t>including</w:t>
      </w:r>
      <w:r w:rsidR="006D14CD">
        <w:t xml:space="preserve"> </w:t>
      </w:r>
      <w:r>
        <w:t>visits</w:t>
      </w:r>
      <w:r w:rsidR="006D14CD">
        <w:t xml:space="preserve"> </w:t>
      </w:r>
      <w:r>
        <w:t>to</w:t>
      </w:r>
      <w:r w:rsidR="006D14CD">
        <w:t xml:space="preserve"> </w:t>
      </w:r>
      <w:r>
        <w:t xml:space="preserve">the </w:t>
      </w:r>
      <w:r w:rsidR="0073027B">
        <w:t>Company</w:t>
      </w:r>
      <w:r w:rsidR="00E871FB">
        <w:t>’</w:t>
      </w:r>
      <w:r>
        <w:t>s facilities and discussions with Officers.</w:t>
      </w:r>
    </w:p>
    <w:p w14:paraId="73A1A61A" w14:textId="77777777" w:rsidR="006A315F" w:rsidRDefault="006A315F" w:rsidP="006D14CD">
      <w:pPr>
        <w:pStyle w:val="Heading1"/>
      </w:pPr>
      <w:bookmarkStart w:id="26" w:name="_Toc169774810"/>
      <w:r>
        <w:t>Assessing the Board</w:t>
      </w:r>
      <w:r w:rsidR="00E871FB">
        <w:t>’</w:t>
      </w:r>
      <w:r>
        <w:t>s Performance</w:t>
      </w:r>
      <w:bookmarkEnd w:id="26"/>
    </w:p>
    <w:p w14:paraId="1B6E2F74" w14:textId="77777777" w:rsidR="006A315F" w:rsidRDefault="006A315F" w:rsidP="006A315F">
      <w:pPr>
        <w:pStyle w:val="BodyTextFirstIndent"/>
      </w:pPr>
      <w:r>
        <w:t>The Board and each committee, pursuant to its charter, will conduct a self-evaluation, at least annually, to determine if it and its committees are functioning effectively.  The Nominating and Corporate Governance Committee is responsible for</w:t>
      </w:r>
      <w:r w:rsidR="006D14CD">
        <w:t xml:space="preserve"> </w:t>
      </w:r>
      <w:r>
        <w:t>overseeing and reporting to the Board, on an annual basis, an assessment of the Board</w:t>
      </w:r>
      <w:r w:rsidR="00E871FB">
        <w:t>’</w:t>
      </w:r>
      <w:r>
        <w:t>s performance and procedures</w:t>
      </w:r>
      <w:r w:rsidR="006D14CD">
        <w:t xml:space="preserve">.  </w:t>
      </w:r>
      <w:r>
        <w:t>This will be discussed by the full Board.  This assessment is of the Board</w:t>
      </w:r>
      <w:r w:rsidR="00E871FB">
        <w:t>’</w:t>
      </w:r>
      <w:r>
        <w:t>s contribution as a whole and specifically reviews areas in which the Board and/or Management believes a better contribution could be made.</w:t>
      </w:r>
    </w:p>
    <w:p w14:paraId="6D1F404B" w14:textId="77777777" w:rsidR="006A315F" w:rsidRDefault="006A315F" w:rsidP="006A315F">
      <w:pPr>
        <w:pStyle w:val="BodyTextFirstIndent"/>
      </w:pPr>
      <w:r>
        <w:t>In</w:t>
      </w:r>
      <w:r w:rsidR="006D14CD">
        <w:t xml:space="preserve"> </w:t>
      </w:r>
      <w:r>
        <w:t>addition,</w:t>
      </w:r>
      <w:r w:rsidR="006D14CD">
        <w:t xml:space="preserve"> </w:t>
      </w:r>
      <w:r>
        <w:t>the</w:t>
      </w:r>
      <w:r w:rsidR="006D14CD">
        <w:t xml:space="preserve"> </w:t>
      </w:r>
      <w:r>
        <w:t>Nominating</w:t>
      </w:r>
      <w:r w:rsidR="006D14CD">
        <w:t xml:space="preserve"> </w:t>
      </w:r>
      <w:r>
        <w:t>and</w:t>
      </w:r>
      <w:r w:rsidR="006D14CD">
        <w:t xml:space="preserve"> </w:t>
      </w:r>
      <w:r>
        <w:t>Corporate</w:t>
      </w:r>
      <w:r w:rsidR="006D14CD">
        <w:t xml:space="preserve"> </w:t>
      </w:r>
      <w:r>
        <w:t>Governance</w:t>
      </w:r>
      <w:r w:rsidR="006D14CD">
        <w:t xml:space="preserve"> </w:t>
      </w:r>
      <w:r>
        <w:t>Committee</w:t>
      </w:r>
      <w:r w:rsidR="006D14CD">
        <w:t xml:space="preserve"> </w:t>
      </w:r>
      <w:r>
        <w:t>will</w:t>
      </w:r>
      <w:r w:rsidR="006D14CD">
        <w:t xml:space="preserve"> </w:t>
      </w:r>
      <w:r>
        <w:t>review</w:t>
      </w:r>
      <w:r w:rsidR="006D14CD">
        <w:t xml:space="preserve"> </w:t>
      </w:r>
      <w:r>
        <w:t>the performance of each individual Board member prior to proposing him or her for re-election.</w:t>
      </w:r>
    </w:p>
    <w:p w14:paraId="62F25E34" w14:textId="77777777" w:rsidR="006A315F" w:rsidRDefault="006A315F" w:rsidP="006D14CD">
      <w:pPr>
        <w:pStyle w:val="Heading1"/>
      </w:pPr>
      <w:bookmarkStart w:id="27" w:name="_Toc169774811"/>
      <w:r>
        <w:t>Directors Who Change Their Present Job Responsibility</w:t>
      </w:r>
      <w:bookmarkEnd w:id="27"/>
    </w:p>
    <w:p w14:paraId="0714CC88" w14:textId="77777777" w:rsidR="006A315F" w:rsidRDefault="006A315F" w:rsidP="006A315F">
      <w:pPr>
        <w:pStyle w:val="BodyTextFirstIndent"/>
      </w:pPr>
      <w:r>
        <w:t>It is the sense of the Board that individual Directors who change the full-time, non-</w:t>
      </w:r>
      <w:r w:rsidR="003469CB">
        <w:t>Varex</w:t>
      </w:r>
      <w:r>
        <w:t xml:space="preserve"> responsibility they held when they were elected to the Board should offer their resignation from the Board.</w:t>
      </w:r>
    </w:p>
    <w:p w14:paraId="43F73680" w14:textId="77777777" w:rsidR="006A315F" w:rsidRDefault="006A315F" w:rsidP="006A315F">
      <w:pPr>
        <w:pStyle w:val="BodyTextFirstIndent"/>
      </w:pPr>
      <w:r>
        <w:lastRenderedPageBreak/>
        <w:t>It is not the sense of the Board, however, that Directors who retire from their outside positions</w:t>
      </w:r>
      <w:r w:rsidR="006D14CD">
        <w:t xml:space="preserve"> </w:t>
      </w:r>
      <w:r>
        <w:t>or</w:t>
      </w:r>
      <w:r w:rsidR="006D14CD">
        <w:t xml:space="preserve"> </w:t>
      </w:r>
      <w:r>
        <w:t>change</w:t>
      </w:r>
      <w:r w:rsidR="006D14CD">
        <w:t xml:space="preserve"> </w:t>
      </w:r>
      <w:r>
        <w:t>from</w:t>
      </w:r>
      <w:r w:rsidR="006D14CD">
        <w:t xml:space="preserve"> </w:t>
      </w:r>
      <w:r>
        <w:t>the</w:t>
      </w:r>
      <w:r w:rsidR="006D14CD">
        <w:t xml:space="preserve"> </w:t>
      </w:r>
      <w:r>
        <w:t>position</w:t>
      </w:r>
      <w:r w:rsidR="006D14CD">
        <w:t xml:space="preserve"> </w:t>
      </w:r>
      <w:r>
        <w:t>they</w:t>
      </w:r>
      <w:r w:rsidR="006D14CD">
        <w:t xml:space="preserve"> </w:t>
      </w:r>
      <w:r>
        <w:t>held</w:t>
      </w:r>
      <w:r w:rsidR="006D14CD">
        <w:t xml:space="preserve"> </w:t>
      </w:r>
      <w:r>
        <w:t>when</w:t>
      </w:r>
      <w:r w:rsidR="006D14CD">
        <w:t xml:space="preserve"> </w:t>
      </w:r>
      <w:r>
        <w:t>they</w:t>
      </w:r>
      <w:r w:rsidR="006D14CD">
        <w:t xml:space="preserve"> </w:t>
      </w:r>
      <w:r>
        <w:t>came</w:t>
      </w:r>
      <w:r w:rsidR="006D14CD">
        <w:t xml:space="preserve"> </w:t>
      </w:r>
      <w:r>
        <w:t>on</w:t>
      </w:r>
      <w:r w:rsidR="006D14CD">
        <w:t xml:space="preserve"> </w:t>
      </w:r>
      <w:r>
        <w:t>the</w:t>
      </w:r>
      <w:r w:rsidR="006D14CD">
        <w:t xml:space="preserve"> </w:t>
      </w:r>
      <w:r>
        <w:t>Board</w:t>
      </w:r>
      <w:r w:rsidR="006D14CD">
        <w:t xml:space="preserve"> </w:t>
      </w:r>
      <w:r>
        <w:t>should necessarily leave the Board.</w:t>
      </w:r>
      <w:r w:rsidR="006D14CD">
        <w:t xml:space="preserve">  </w:t>
      </w:r>
      <w:r>
        <w:t>Therefore, there should be an opportunity for the full Board, after preliminary review by the Nominating and Corporate Governance Committee, to review the appropriateness of continued Board membership under these circumstances.</w:t>
      </w:r>
    </w:p>
    <w:p w14:paraId="7DF2B612" w14:textId="77777777" w:rsidR="006A315F" w:rsidRDefault="006A315F" w:rsidP="006D14CD">
      <w:pPr>
        <w:pStyle w:val="Heading1"/>
      </w:pPr>
      <w:bookmarkStart w:id="28" w:name="_Toc169774812"/>
      <w:r>
        <w:t>Retirement Policy</w:t>
      </w:r>
      <w:bookmarkEnd w:id="28"/>
    </w:p>
    <w:p w14:paraId="633FCE1E" w14:textId="065B1557" w:rsidR="006A315F" w:rsidRDefault="006A315F" w:rsidP="006A315F">
      <w:pPr>
        <w:pStyle w:val="BodyTextFirstIndent"/>
      </w:pPr>
      <w:r>
        <w:t xml:space="preserve">The Nominating and Corporate Governance Committee is responsible for periodically reviewing the </w:t>
      </w:r>
      <w:r w:rsidR="0073027B">
        <w:t>Company</w:t>
      </w:r>
      <w:r w:rsidR="00E871FB">
        <w:t>’</w:t>
      </w:r>
      <w:r>
        <w:t>s Director retirement policy, if any, and if appropriate, recommending changes to the Board.</w:t>
      </w:r>
      <w:r w:rsidR="004F0A9F">
        <w:t xml:space="preserve"> </w:t>
      </w:r>
      <w:r w:rsidR="004F0A9F" w:rsidRPr="009567DC">
        <w:rPr>
          <w:rFonts w:eastAsiaTheme="minorHAnsi" w:cs="Arial"/>
          <w:szCs w:val="24"/>
        </w:rPr>
        <w:t>The Board may nominate for election to the Board any person, regardless of age.</w:t>
      </w:r>
      <w:r w:rsidR="004F0A9F">
        <w:rPr>
          <w:rFonts w:eastAsiaTheme="minorHAnsi" w:cs="Arial"/>
          <w:szCs w:val="24"/>
        </w:rPr>
        <w:t xml:space="preserve">  </w:t>
      </w:r>
      <w:r w:rsidR="004F0A9F" w:rsidRPr="009567DC">
        <w:rPr>
          <w:rFonts w:eastAsiaTheme="minorHAnsi" w:cs="Arial"/>
          <w:szCs w:val="24"/>
        </w:rPr>
        <w:t>In determining whether to nominate a director for election to the Board, the Board should consider the Board’s annual assessment and a director’s individual performance.  Absent circumstances persuasive to the Board that are discussed at and noted by the Board in the minutes of the meeting where a director is nominated or appointed to serve as a director, nominees should be 75 years or younger at the time of their election or re-election.  The Board should use a holistic approach in selecting directors best suited to be nominated, and as such, the Board has the discretion to deviate from these guidelines if the Board deems appropriate.</w:t>
      </w:r>
    </w:p>
    <w:p w14:paraId="1F852E63" w14:textId="77777777" w:rsidR="004F0A9F" w:rsidRPr="009567DC" w:rsidRDefault="004F0A9F" w:rsidP="004F0A9F">
      <w:pPr>
        <w:pStyle w:val="BodyTextFirstIndent"/>
        <w:rPr>
          <w:rFonts w:eastAsiaTheme="minorHAnsi" w:cs="Arial"/>
          <w:szCs w:val="24"/>
        </w:rPr>
      </w:pPr>
      <w:r w:rsidRPr="009567DC">
        <w:rPr>
          <w:rFonts w:eastAsiaTheme="minorHAnsi" w:cs="Arial"/>
          <w:szCs w:val="24"/>
        </w:rPr>
        <w:t>The Board may nominate for election to the Board a person who previously served on the Board, provided that such individual has not served as a director in the two years prior to his or her nomination for election.</w:t>
      </w:r>
    </w:p>
    <w:p w14:paraId="4A0A207C" w14:textId="67E72D3B" w:rsidR="004F0A9F" w:rsidRDefault="004F0A9F" w:rsidP="006A315F">
      <w:pPr>
        <w:pStyle w:val="BodyTextFirstIndent"/>
      </w:pPr>
      <w:r w:rsidRPr="004F0A9F">
        <w:rPr>
          <w:rFonts w:eastAsiaTheme="minorHAnsi" w:cs="Arial"/>
          <w:szCs w:val="24"/>
        </w:rPr>
        <w:t>Any director who does not stand for re-election to the Board of Directors at the end of the term for which that director was elected, shall be deemed to have retired from the Board of Directors at the end of his or her term. Any director who stands for re-election to the Board of Directors at the end of the term for which that director was elected, but is not re-elected, shall be deemed to have retired from the Board of Directors at the end of his or her term.</w:t>
      </w:r>
    </w:p>
    <w:p w14:paraId="21D33F39" w14:textId="77777777" w:rsidR="006A315F" w:rsidRDefault="006A315F" w:rsidP="006D14CD">
      <w:pPr>
        <w:pStyle w:val="Heading1"/>
      </w:pPr>
      <w:bookmarkStart w:id="29" w:name="_Toc169774813"/>
      <w:r>
        <w:t>Formal Evaluation of the CEO</w:t>
      </w:r>
      <w:bookmarkEnd w:id="29"/>
    </w:p>
    <w:p w14:paraId="402D3DE1" w14:textId="04AE47AC" w:rsidR="006A315F" w:rsidRDefault="006A315F" w:rsidP="006A315F">
      <w:pPr>
        <w:pStyle w:val="BodyTextFirstIndent"/>
      </w:pPr>
      <w:r>
        <w:t>The Independent Directors will annually, at the close of the fiscal year, evaluate the performance of the CEO.  The evaluation will be based on objective criteria, communicated to the CEO by the Board and approved by the Board at the beginning of each fiscal year, including performance of the business, accomplishment of near</w:t>
      </w:r>
      <w:r w:rsidR="006A1B18">
        <w:t>-</w:t>
      </w:r>
      <w:r>
        <w:t xml:space="preserve"> and long</w:t>
      </w:r>
      <w:r w:rsidR="006A1B18">
        <w:t>-</w:t>
      </w:r>
      <w:r>
        <w:t xml:space="preserve">term objectives, development of Management, etc.  The evaluation will be used by the Compensation and </w:t>
      </w:r>
      <w:r w:rsidR="00051F28" w:rsidRPr="00051F28">
        <w:t xml:space="preserve">Human Capital </w:t>
      </w:r>
      <w:r>
        <w:t>Management Committee when considering the compensation of the CEO.</w:t>
      </w:r>
    </w:p>
    <w:p w14:paraId="22ABC837" w14:textId="77777777" w:rsidR="006A315F" w:rsidRDefault="006A315F" w:rsidP="006D14CD">
      <w:pPr>
        <w:pStyle w:val="Heading1"/>
      </w:pPr>
      <w:bookmarkStart w:id="30" w:name="_Toc169774814"/>
      <w:r>
        <w:t>Succession Planning</w:t>
      </w:r>
      <w:bookmarkEnd w:id="30"/>
    </w:p>
    <w:p w14:paraId="332CB9E7" w14:textId="4155B369" w:rsidR="006A315F" w:rsidRDefault="00AB2B02" w:rsidP="006A315F">
      <w:pPr>
        <w:pStyle w:val="BodyTextFirstIndent"/>
      </w:pPr>
      <w:bookmarkStart w:id="31" w:name="_Hlk171678972"/>
      <w:r w:rsidRPr="00FD174F">
        <w:t>A primary responsibility of the Board is planning for CEO succession and overseeing identification and development of executive officers. The Board works with the Company’s CEO and Chief Human Resources Officer to plan for CEO succession and to annually review the CEO succession plan.  The Board</w:t>
      </w:r>
      <w:r w:rsidR="00FD174F">
        <w:t xml:space="preserve">, or the </w:t>
      </w:r>
      <w:r w:rsidR="00FD174F" w:rsidRPr="00FD174F">
        <w:t>Compensation and Human Capital Management Committee</w:t>
      </w:r>
      <w:r w:rsidR="00FD174F">
        <w:t xml:space="preserve"> (which through its charter has </w:t>
      </w:r>
      <w:r w:rsidR="00FD174F" w:rsidRPr="00FD174F">
        <w:t>general oversight responsibility for management development and succession planning practices and strategy</w:t>
      </w:r>
      <w:r w:rsidR="00FD174F">
        <w:t>)</w:t>
      </w:r>
      <w:r w:rsidRPr="00FD174F">
        <w:t xml:space="preserve"> will also annually review the Company’s CEO succession planning process, including the identification, development and progress of internal candidates, and how candidates have been assessed. </w:t>
      </w:r>
    </w:p>
    <w:bookmarkEnd w:id="31"/>
    <w:p w14:paraId="5531CC29" w14:textId="1A207034" w:rsidR="006A1B18" w:rsidRDefault="006A1B18" w:rsidP="006A315F">
      <w:pPr>
        <w:pStyle w:val="BodyTextFirstIndent"/>
      </w:pPr>
    </w:p>
    <w:p w14:paraId="3D888565" w14:textId="77777777" w:rsidR="006A315F" w:rsidRDefault="006A315F" w:rsidP="006D14CD">
      <w:pPr>
        <w:pStyle w:val="Heading1"/>
      </w:pPr>
      <w:bookmarkStart w:id="32" w:name="_Toc169774815"/>
      <w:r>
        <w:t>Management Development</w:t>
      </w:r>
      <w:bookmarkEnd w:id="32"/>
    </w:p>
    <w:p w14:paraId="39724AAF" w14:textId="77777777" w:rsidR="006A315F" w:rsidRDefault="006A315F" w:rsidP="006A315F">
      <w:pPr>
        <w:pStyle w:val="BodyTextFirstIndent"/>
      </w:pPr>
      <w:r>
        <w:t>In addition to the</w:t>
      </w:r>
      <w:r w:rsidR="007F784A">
        <w:t xml:space="preserve"> Management</w:t>
      </w:r>
      <w:r>
        <w:t xml:space="preserve"> succession planning annual report, the CEO (or the CEO</w:t>
      </w:r>
      <w:r w:rsidR="00E871FB">
        <w:t>’</w:t>
      </w:r>
      <w:r>
        <w:t>s delegate) will at the same time report to the Board on Management development.</w:t>
      </w:r>
    </w:p>
    <w:p w14:paraId="70A7F0FD" w14:textId="2D468D71" w:rsidR="006A315F" w:rsidRDefault="006A315F" w:rsidP="006A315F">
      <w:pPr>
        <w:pStyle w:val="BodyTextFirstIndent"/>
      </w:pPr>
      <w:r>
        <w:t>In addition, the CEO (or the CEO</w:t>
      </w:r>
      <w:r w:rsidR="00E871FB">
        <w:t>’</w:t>
      </w:r>
      <w:r>
        <w:t xml:space="preserve">s delegate) will review annually with the Compensation and </w:t>
      </w:r>
      <w:r w:rsidR="00051F28" w:rsidRPr="00051F28">
        <w:t xml:space="preserve">Human Capital </w:t>
      </w:r>
      <w:r>
        <w:t xml:space="preserve">Management Committee the performance of the other Officers and the extent to which these </w:t>
      </w:r>
      <w:r w:rsidR="00861D78">
        <w:t>O</w:t>
      </w:r>
      <w:r>
        <w:t xml:space="preserve">fficers have accomplished their goals.  The Compensation and </w:t>
      </w:r>
      <w:r w:rsidR="00051F28" w:rsidRPr="00051F28">
        <w:t xml:space="preserve">Human Capital </w:t>
      </w:r>
      <w:r>
        <w:t>Management Committee may, in turn, provide a summary of these reports and reviews to the full Board.</w:t>
      </w:r>
    </w:p>
    <w:p w14:paraId="75D51CCF" w14:textId="3F04ACCC" w:rsidR="006A315F" w:rsidRDefault="006A315F" w:rsidP="006A315F">
      <w:pPr>
        <w:pStyle w:val="BodyTextFirstIndent"/>
      </w:pPr>
      <w:r>
        <w:t xml:space="preserve">The </w:t>
      </w:r>
      <w:r w:rsidR="0073027B">
        <w:t>Company</w:t>
      </w:r>
      <w:r w:rsidR="00E871FB">
        <w:t>’</w:t>
      </w:r>
      <w:r>
        <w:t xml:space="preserve">s CEO should serve on the board of directors of no more than one other for-profit entity or a significant non-profit organization, except where appropriate circumstances warrant otherwise and the Board approves such additional service.  In the event that CEO wishes to serve on the board of directors of a for-profit entity other than </w:t>
      </w:r>
      <w:r w:rsidR="003469CB">
        <w:t>Varex</w:t>
      </w:r>
      <w:r>
        <w:t xml:space="preserve"> or a significant non-profit</w:t>
      </w:r>
      <w:r w:rsidR="006D14CD">
        <w:t xml:space="preserve"> </w:t>
      </w:r>
      <w:r>
        <w:t>organization,</w:t>
      </w:r>
      <w:r w:rsidR="006D14CD">
        <w:t xml:space="preserve"> </w:t>
      </w:r>
      <w:r>
        <w:t>the</w:t>
      </w:r>
      <w:r w:rsidR="006D14CD">
        <w:t xml:space="preserve"> </w:t>
      </w:r>
      <w:r>
        <w:t>CEO</w:t>
      </w:r>
      <w:r w:rsidR="006D14CD">
        <w:t xml:space="preserve"> </w:t>
      </w:r>
      <w:r>
        <w:t>should</w:t>
      </w:r>
      <w:r w:rsidR="006D14CD">
        <w:t xml:space="preserve"> </w:t>
      </w:r>
      <w:r>
        <w:t>(1)</w:t>
      </w:r>
      <w:r w:rsidR="006D14CD">
        <w:t xml:space="preserve"> </w:t>
      </w:r>
      <w:r>
        <w:t>first</w:t>
      </w:r>
      <w:r w:rsidR="006D14CD">
        <w:t xml:space="preserve"> </w:t>
      </w:r>
      <w:r>
        <w:t>verify</w:t>
      </w:r>
      <w:r w:rsidR="006D14CD">
        <w:t xml:space="preserve"> </w:t>
      </w:r>
      <w:r>
        <w:t>with</w:t>
      </w:r>
      <w:r w:rsidR="006D14CD">
        <w:t xml:space="preserve"> </w:t>
      </w:r>
      <w:r>
        <w:t>the</w:t>
      </w:r>
      <w:r w:rsidR="006D14CD">
        <w:t xml:space="preserve"> </w:t>
      </w:r>
      <w:r w:rsidR="00181FEE">
        <w:t>Chair</w:t>
      </w:r>
      <w:r w:rsidR="006D14CD">
        <w:t xml:space="preserve"> </w:t>
      </w:r>
      <w:r>
        <w:t>of</w:t>
      </w:r>
      <w:r w:rsidR="006D14CD">
        <w:t xml:space="preserve"> </w:t>
      </w:r>
      <w:r>
        <w:t>the</w:t>
      </w:r>
      <w:r w:rsidR="006D14CD">
        <w:t xml:space="preserve"> </w:t>
      </w:r>
      <w:r>
        <w:t xml:space="preserve">Board, </w:t>
      </w:r>
      <w:r w:rsidR="00181FEE">
        <w:t>Chair</w:t>
      </w:r>
      <w:r>
        <w:t xml:space="preserve"> of the Nominating and Corporate Governance Committee, and the Legal Department that no conflicts of interest with such other entity or organization exists and that such other service would not otherwise compromise the CEO</w:t>
      </w:r>
      <w:r w:rsidR="00E871FB">
        <w:t>’</w:t>
      </w:r>
      <w:r>
        <w:t xml:space="preserve">s service on the </w:t>
      </w:r>
      <w:r w:rsidR="003469CB">
        <w:t>Varex</w:t>
      </w:r>
      <w:r>
        <w:t xml:space="preserve"> Board and (2) obtain the prior approval of the Board for such service.</w:t>
      </w:r>
    </w:p>
    <w:p w14:paraId="0BBF17A1" w14:textId="77777777" w:rsidR="006A315F" w:rsidRDefault="006A315F" w:rsidP="006A315F">
      <w:pPr>
        <w:pStyle w:val="BodyTextFirstIndent"/>
      </w:pPr>
      <w:r>
        <w:t xml:space="preserve">Members of Management (other than the CEO) should serve on the board of directors of no more than one other for-profit entity, except where appropriate circumstances warrant otherwise and the CEO approves such additional service.  In the event that a member of Management (other than the CEO) wishes to serve on the board of directors of a for-profit entity other than </w:t>
      </w:r>
      <w:r w:rsidR="003469CB">
        <w:t>Varex</w:t>
      </w:r>
      <w:r>
        <w:t xml:space="preserve"> or a significant non-profit organization, the member of Management should (1)</w:t>
      </w:r>
      <w:r w:rsidR="00827754">
        <w:t> </w:t>
      </w:r>
      <w:r>
        <w:t>first verify with the Legal Department that no conflicts of interest with such other entity or organization exists and that such other service would not otherwise compromise the member</w:t>
      </w:r>
      <w:r w:rsidR="00E871FB">
        <w:t>’</w:t>
      </w:r>
      <w:r>
        <w:t xml:space="preserve">s service to </w:t>
      </w:r>
      <w:r w:rsidR="003469CB">
        <w:t>Varex</w:t>
      </w:r>
      <w:r>
        <w:t xml:space="preserve"> and (2) obtain the prior approval of the CEO</w:t>
      </w:r>
      <w:r w:rsidR="00EA0BF6">
        <w:t xml:space="preserve"> and the Board</w:t>
      </w:r>
      <w:r>
        <w:t xml:space="preserve"> for such service.</w:t>
      </w:r>
    </w:p>
    <w:p w14:paraId="3CFA3AA7" w14:textId="77777777" w:rsidR="006A315F" w:rsidRDefault="006A315F" w:rsidP="006D14CD">
      <w:pPr>
        <w:pStyle w:val="Heading1"/>
      </w:pPr>
      <w:bookmarkStart w:id="33" w:name="_Toc169774816"/>
      <w:r>
        <w:t>Board Interaction with Investors, the Press, Customers, Stockholders and Others</w:t>
      </w:r>
      <w:bookmarkEnd w:id="33"/>
    </w:p>
    <w:p w14:paraId="66A8F73A" w14:textId="1C6DD19E" w:rsidR="006A315F" w:rsidRDefault="006A315F" w:rsidP="006A315F">
      <w:pPr>
        <w:pStyle w:val="BodyTextFirstIndent"/>
      </w:pPr>
      <w:r>
        <w:t xml:space="preserve">Management speaks for the </w:t>
      </w:r>
      <w:r w:rsidR="0073027B">
        <w:t>Company</w:t>
      </w:r>
      <w:r w:rsidR="006D14CD">
        <w:t xml:space="preserve">.  </w:t>
      </w:r>
      <w:r w:rsidR="00EA0BF6">
        <w:t xml:space="preserve">Unless specifically authorized by the </w:t>
      </w:r>
      <w:r w:rsidR="00181FEE">
        <w:t>Chair</w:t>
      </w:r>
      <w:r w:rsidR="00EA0BF6">
        <w:t xml:space="preserve"> or the CEO, </w:t>
      </w:r>
      <w:r>
        <w:t xml:space="preserve">Directors do not speak for the </w:t>
      </w:r>
      <w:r w:rsidR="0073027B">
        <w:t>Company</w:t>
      </w:r>
      <w:r w:rsidR="006D14CD">
        <w:t xml:space="preserve">.  </w:t>
      </w:r>
      <w:r>
        <w:t>Discussions with or the release of information to individual investors, the press, customers and stockholders will be through Management.</w:t>
      </w:r>
    </w:p>
    <w:p w14:paraId="7B214EBF" w14:textId="3C3D8F12" w:rsidR="006A315F" w:rsidRDefault="006A315F" w:rsidP="006A315F">
      <w:pPr>
        <w:pStyle w:val="BodyTextFirstIndent"/>
      </w:pPr>
      <w:r>
        <w:t>Stockholders</w:t>
      </w:r>
      <w:r w:rsidR="006D14CD">
        <w:t xml:space="preserve"> </w:t>
      </w:r>
      <w:r>
        <w:t>and</w:t>
      </w:r>
      <w:r w:rsidR="006D14CD">
        <w:t xml:space="preserve"> </w:t>
      </w:r>
      <w:r>
        <w:t>other</w:t>
      </w:r>
      <w:r w:rsidR="006D14CD">
        <w:t xml:space="preserve"> </w:t>
      </w:r>
      <w:r>
        <w:t>interested</w:t>
      </w:r>
      <w:r w:rsidR="006D14CD">
        <w:t xml:space="preserve"> </w:t>
      </w:r>
      <w:r>
        <w:t>parties</w:t>
      </w:r>
      <w:r w:rsidR="006D14CD">
        <w:t xml:space="preserve"> </w:t>
      </w:r>
      <w:r>
        <w:t>may</w:t>
      </w:r>
      <w:r w:rsidR="006D14CD">
        <w:t xml:space="preserve"> </w:t>
      </w:r>
      <w:r>
        <w:t>communicate</w:t>
      </w:r>
      <w:r w:rsidR="006D14CD">
        <w:t xml:space="preserve"> </w:t>
      </w:r>
      <w:r>
        <w:t>directly</w:t>
      </w:r>
      <w:r w:rsidR="006D14CD">
        <w:t xml:space="preserve"> </w:t>
      </w:r>
      <w:r>
        <w:t>with</w:t>
      </w:r>
      <w:r w:rsidR="006D14CD">
        <w:t xml:space="preserve"> </w:t>
      </w:r>
      <w:r>
        <w:t>the</w:t>
      </w:r>
      <w:r w:rsidR="006D14CD">
        <w:t xml:space="preserve"> </w:t>
      </w:r>
      <w:r>
        <w:t>Board through the Board</w:t>
      </w:r>
      <w:r w:rsidR="00E871FB">
        <w:t>’</w:t>
      </w:r>
      <w:r>
        <w:t xml:space="preserve">s </w:t>
      </w:r>
      <w:r w:rsidR="00181FEE">
        <w:t>Chair</w:t>
      </w:r>
      <w:r w:rsidR="00343487">
        <w:t xml:space="preserve"> of the Board </w:t>
      </w:r>
      <w:r>
        <w:t xml:space="preserve">or, if the </w:t>
      </w:r>
      <w:r w:rsidR="00181FEE">
        <w:t>Chair</w:t>
      </w:r>
      <w:r>
        <w:t xml:space="preserve"> of the Board is an employee of the </w:t>
      </w:r>
      <w:r w:rsidR="0073027B">
        <w:t>Company</w:t>
      </w:r>
      <w:r>
        <w:t xml:space="preserve"> and is </w:t>
      </w:r>
      <w:r w:rsidR="00343487">
        <w:t xml:space="preserve">not </w:t>
      </w:r>
      <w:r>
        <w:t xml:space="preserve">an Independent Director, through </w:t>
      </w:r>
      <w:r w:rsidR="00213647">
        <w:t>the</w:t>
      </w:r>
      <w:r w:rsidR="00343487">
        <w:t xml:space="preserve"> </w:t>
      </w:r>
      <w:r w:rsidR="00213647">
        <w:t>L</w:t>
      </w:r>
      <w:r w:rsidR="00343487">
        <w:t xml:space="preserve">ead </w:t>
      </w:r>
      <w:r w:rsidR="00213647">
        <w:t>D</w:t>
      </w:r>
      <w:r w:rsidR="00343487">
        <w:t>irector</w:t>
      </w:r>
      <w:r>
        <w:t xml:space="preserve">.  The process for such communication will be posted on the </w:t>
      </w:r>
      <w:r w:rsidR="0073027B">
        <w:t>Company</w:t>
      </w:r>
      <w:r w:rsidR="00E871FB">
        <w:t>’</w:t>
      </w:r>
      <w:r>
        <w:t xml:space="preserve">s public web site, </w:t>
      </w:r>
      <w:r w:rsidR="00343487">
        <w:t>www.vareximaging.com</w:t>
      </w:r>
      <w:r>
        <w:t xml:space="preserve">, and/or, as required, in the </w:t>
      </w:r>
      <w:r w:rsidR="0073027B">
        <w:t>Company</w:t>
      </w:r>
      <w:r w:rsidR="00E871FB">
        <w:t>’</w:t>
      </w:r>
      <w:r>
        <w:t>s proxy statement filed in connection with its annual meeting of stockholders.</w:t>
      </w:r>
    </w:p>
    <w:p w14:paraId="47D6FE0E" w14:textId="77777777" w:rsidR="006A315F" w:rsidRDefault="006A315F" w:rsidP="006D14CD">
      <w:pPr>
        <w:pStyle w:val="Heading1"/>
      </w:pPr>
      <w:bookmarkStart w:id="34" w:name="_Toc169774817"/>
      <w:r>
        <w:lastRenderedPageBreak/>
        <w:t>Share Ownership of Directors</w:t>
      </w:r>
      <w:bookmarkEnd w:id="34"/>
    </w:p>
    <w:p w14:paraId="1DDD44EA" w14:textId="77777777" w:rsidR="006A315F" w:rsidRPr="004B6C22" w:rsidRDefault="006A315F" w:rsidP="006A315F">
      <w:pPr>
        <w:pStyle w:val="BodyTextFirstIndent"/>
      </w:pPr>
      <w:r>
        <w:t xml:space="preserve">The Board believes that Directors should be stockholders </w:t>
      </w:r>
      <w:r w:rsidRPr="004B6C22">
        <w:t xml:space="preserve">and have a financial stake in the </w:t>
      </w:r>
      <w:r w:rsidR="0073027B" w:rsidRPr="004B6C22">
        <w:t>Company</w:t>
      </w:r>
      <w:r w:rsidRPr="004B6C22">
        <w:t xml:space="preserve">.  It is anticipated that each Director will develop a meaningful ownership position in the </w:t>
      </w:r>
      <w:r w:rsidR="0073027B" w:rsidRPr="004B6C22">
        <w:t>Company</w:t>
      </w:r>
      <w:r w:rsidRPr="004B6C22">
        <w:t xml:space="preserve"> over time, depending upon individual circumstances.</w:t>
      </w:r>
    </w:p>
    <w:p w14:paraId="4CA99914" w14:textId="647A513A" w:rsidR="006A315F" w:rsidRPr="004B6C22" w:rsidRDefault="006A315F" w:rsidP="006D14CD">
      <w:pPr>
        <w:pStyle w:val="Heading1"/>
      </w:pPr>
      <w:bookmarkStart w:id="35" w:name="_Toc169774818"/>
      <w:r w:rsidRPr="004B6C22">
        <w:t xml:space="preserve">Conflicts of Interest, Related </w:t>
      </w:r>
      <w:r w:rsidR="009E189C" w:rsidRPr="004B6C22">
        <w:t xml:space="preserve">Party </w:t>
      </w:r>
      <w:r w:rsidRPr="004B6C22">
        <w:t>Transactions and Business Ethics</w:t>
      </w:r>
      <w:bookmarkEnd w:id="35"/>
    </w:p>
    <w:p w14:paraId="21626677" w14:textId="5698CC3E" w:rsidR="006A315F" w:rsidRDefault="006A315F" w:rsidP="006A315F">
      <w:pPr>
        <w:pStyle w:val="BodyTextFirstIndent"/>
      </w:pPr>
      <w:r w:rsidRPr="004B6C22">
        <w:t>A Director</w:t>
      </w:r>
      <w:r w:rsidR="00E871FB" w:rsidRPr="004B6C22">
        <w:t>’</w:t>
      </w:r>
      <w:r w:rsidRPr="004B6C22">
        <w:t>s business or family relationships may occasionally give rise to that Director</w:t>
      </w:r>
      <w:r w:rsidR="00E871FB" w:rsidRPr="004B6C22">
        <w:t>’</w:t>
      </w:r>
      <w:r w:rsidRPr="004B6C22">
        <w:t xml:space="preserve">s material personal interest on a particular issue.  Each Director is responsible for disclosing to the Nominating and Corporate Governance Committee and General Counsel situations that he or she reasonably believes give rise to a potential conflict of interest or related </w:t>
      </w:r>
      <w:r w:rsidR="009E189C" w:rsidRPr="004B6C22">
        <w:t xml:space="preserve">party </w:t>
      </w:r>
      <w:r w:rsidRPr="004B6C22">
        <w:t>transaction</w:t>
      </w:r>
      <w:r w:rsidR="009E189C" w:rsidRPr="004B6C22">
        <w:t xml:space="preserve">, as defined in the Company’s Related Party Transaction </w:t>
      </w:r>
      <w:r w:rsidR="00DA3138">
        <w:t>Policy</w:t>
      </w:r>
      <w:r w:rsidRPr="004B6C22">
        <w:t xml:space="preserve">.  In addition, the Nominating and Corporate Governance Committee shall ask Directors about potential conflicts of interest and </w:t>
      </w:r>
      <w:r w:rsidR="009E189C" w:rsidRPr="004B6C22">
        <w:t xml:space="preserve">party </w:t>
      </w:r>
      <w:r w:rsidRPr="004B6C22">
        <w:t xml:space="preserve">person transactions at least once per year.  The Board, upon recommendation of the Nominating and Corporate Governance Committee and after consultation with the </w:t>
      </w:r>
      <w:r w:rsidR="0073027B" w:rsidRPr="004B6C22">
        <w:t>Company</w:t>
      </w:r>
      <w:r w:rsidR="00E871FB" w:rsidRPr="004B6C22">
        <w:t>’</w:t>
      </w:r>
      <w:r w:rsidRPr="004B6C22">
        <w:t xml:space="preserve">s legal counsel, will determine on a case-by-case basis or where it deems appropriate by specific category whether such a conflict of interest or related </w:t>
      </w:r>
      <w:r w:rsidR="009E189C" w:rsidRPr="004B6C22">
        <w:t xml:space="preserve">party </w:t>
      </w:r>
      <w:r w:rsidRPr="004B6C22">
        <w:t xml:space="preserve">transaction exists.  The Board will take appropriate steps to identify such potential conflicts or related </w:t>
      </w:r>
      <w:r w:rsidR="009E189C" w:rsidRPr="004B6C22">
        <w:t xml:space="preserve">party </w:t>
      </w:r>
      <w:r w:rsidRPr="004B6C22">
        <w:t xml:space="preserve">transaction and to assure that all Directors voting on an issue are disinterested with respect to that issue and that appropriate disclosures on behalf of the </w:t>
      </w:r>
      <w:r w:rsidR="0073027B" w:rsidRPr="004B6C22">
        <w:t>Company</w:t>
      </w:r>
      <w:r w:rsidRPr="004B6C22">
        <w:t xml:space="preserve"> are made.  Directors are expected to act ethically at all time</w:t>
      </w:r>
      <w:r w:rsidR="006A1B18">
        <w:t>s</w:t>
      </w:r>
      <w:r w:rsidRPr="004B6C22">
        <w:t xml:space="preserve"> in accordance with the </w:t>
      </w:r>
      <w:r w:rsidR="0073027B" w:rsidRPr="004B6C22">
        <w:t>Company</w:t>
      </w:r>
      <w:r w:rsidR="00E871FB" w:rsidRPr="004B6C22">
        <w:t>’</w:t>
      </w:r>
      <w:r w:rsidRPr="004B6C22">
        <w:t>s Code of Conduct.</w:t>
      </w:r>
    </w:p>
    <w:p w14:paraId="7234FCE8" w14:textId="77777777" w:rsidR="006A315F" w:rsidRDefault="006A315F" w:rsidP="006D14CD">
      <w:pPr>
        <w:pStyle w:val="Heading1"/>
      </w:pPr>
      <w:bookmarkStart w:id="36" w:name="_Toc169774819"/>
      <w:r>
        <w:t>Director Continuing Education</w:t>
      </w:r>
      <w:bookmarkEnd w:id="36"/>
    </w:p>
    <w:p w14:paraId="75D744DE" w14:textId="77777777" w:rsidR="006A315F" w:rsidRDefault="006A315F" w:rsidP="006A315F">
      <w:pPr>
        <w:pStyle w:val="BodyTextFirstIndent"/>
      </w:pPr>
      <w:r>
        <w:t xml:space="preserve">The Board encourages Directors to participate in developmental continuing education programs applicable to their position as a Director of the </w:t>
      </w:r>
      <w:r w:rsidR="0073027B">
        <w:t>Company</w:t>
      </w:r>
      <w:r>
        <w:t>, including, but not limited to, those recommended by the Nominating and Corporate Governance Committee.</w:t>
      </w:r>
    </w:p>
    <w:p w14:paraId="5E79EAC3" w14:textId="77777777" w:rsidR="006A315F" w:rsidRDefault="006A315F" w:rsidP="006D14CD">
      <w:pPr>
        <w:pStyle w:val="Heading1"/>
      </w:pPr>
      <w:bookmarkStart w:id="37" w:name="_Toc169774820"/>
      <w:r>
        <w:t>Consulting Agreements with Directors</w:t>
      </w:r>
      <w:bookmarkEnd w:id="37"/>
    </w:p>
    <w:p w14:paraId="06302D42" w14:textId="77777777" w:rsidR="006A315F" w:rsidRDefault="006A315F" w:rsidP="006A315F">
      <w:pPr>
        <w:pStyle w:val="BodyTextFirstIndent"/>
      </w:pPr>
      <w:r>
        <w:t xml:space="preserve">The </w:t>
      </w:r>
      <w:r w:rsidR="0073027B">
        <w:t>Company</w:t>
      </w:r>
      <w:r>
        <w:t xml:space="preserve"> shall not enter into any consulting agreement with any Director.</w:t>
      </w:r>
    </w:p>
    <w:p w14:paraId="0144FE78" w14:textId="77777777" w:rsidR="006A315F" w:rsidRDefault="006A315F" w:rsidP="006D14CD">
      <w:pPr>
        <w:pStyle w:val="Heading1"/>
      </w:pPr>
      <w:bookmarkStart w:id="38" w:name="_Toc169774821"/>
      <w:r>
        <w:t>Director Attendance at Stockholder Meetings</w:t>
      </w:r>
      <w:bookmarkEnd w:id="38"/>
    </w:p>
    <w:p w14:paraId="4EE2EBA1" w14:textId="77777777" w:rsidR="006A315F" w:rsidRDefault="006A315F" w:rsidP="006A315F">
      <w:pPr>
        <w:pStyle w:val="BodyTextFirstIndent"/>
      </w:pPr>
      <w:r>
        <w:t>Directors are expected to attend all stockholder meetings.</w:t>
      </w:r>
    </w:p>
    <w:p w14:paraId="72765581" w14:textId="77777777" w:rsidR="006A315F" w:rsidRDefault="006A315F" w:rsidP="006D14CD">
      <w:pPr>
        <w:pStyle w:val="Heading1"/>
      </w:pPr>
      <w:bookmarkStart w:id="39" w:name="_Toc169774822"/>
      <w:r>
        <w:t>Access to Independent Advisors</w:t>
      </w:r>
      <w:bookmarkEnd w:id="39"/>
    </w:p>
    <w:p w14:paraId="40BB2F3F" w14:textId="77777777" w:rsidR="006A315F" w:rsidRDefault="006A315F" w:rsidP="006A315F">
      <w:pPr>
        <w:pStyle w:val="BodyTextFirstIndent"/>
      </w:pPr>
      <w:r>
        <w:t xml:space="preserve">The Board and its committees shall have the right at any time to retain independent compensation consultants, outside auditors and legal, financial or other advisors, and the </w:t>
      </w:r>
      <w:r w:rsidR="0073027B">
        <w:t>Company</w:t>
      </w:r>
      <w:r>
        <w:t xml:space="preserve"> shall provide appropriate funding, as determined by the Board or the applicable committee, to compensate such independent compensation consultants, outside auditors or advisors.</w:t>
      </w:r>
    </w:p>
    <w:p w14:paraId="6810679D" w14:textId="77777777" w:rsidR="006A315F" w:rsidRDefault="006A315F" w:rsidP="006D14CD">
      <w:pPr>
        <w:pStyle w:val="Heading1"/>
      </w:pPr>
      <w:bookmarkStart w:id="40" w:name="_Toc169774823"/>
      <w:r>
        <w:lastRenderedPageBreak/>
        <w:t>Voting for Directors</w:t>
      </w:r>
      <w:bookmarkEnd w:id="40"/>
    </w:p>
    <w:p w14:paraId="5863E92C" w14:textId="77777777" w:rsidR="006A315F" w:rsidRDefault="006A315F" w:rsidP="006A315F">
      <w:pPr>
        <w:pStyle w:val="BodyTextFirstIndent"/>
      </w:pPr>
      <w:r>
        <w:t xml:space="preserve">In an uncontested election of Directors, if a nominee for Director who is an incumbent Director is elected by a plurality of the votes but does not receive the vote of at least the majority of the votes cast, the Director will offer his or her resignation to the Board promptly following certification of the vote.  For purposes of this policy, a majority of votes cast means that the number of shares voted </w:t>
      </w:r>
      <w:r w:rsidR="00E871FB">
        <w:t>“</w:t>
      </w:r>
      <w:r>
        <w:t>for</w:t>
      </w:r>
      <w:r w:rsidR="00E871FB">
        <w:t>”</w:t>
      </w:r>
      <w:r>
        <w:t xml:space="preserve"> a Director</w:t>
      </w:r>
      <w:r w:rsidR="00E871FB">
        <w:t>’</w:t>
      </w:r>
      <w:r>
        <w:t>s election exceeds 50% of the total number of votes cast with respect to that Director</w:t>
      </w:r>
      <w:r w:rsidR="00E871FB">
        <w:t>’</w:t>
      </w:r>
      <w:r>
        <w:t>s election, including votes to withhold authority.</w:t>
      </w:r>
    </w:p>
    <w:p w14:paraId="0BF50F7C" w14:textId="77777777" w:rsidR="006A315F" w:rsidRDefault="006A315F" w:rsidP="006A315F">
      <w:pPr>
        <w:pStyle w:val="BodyTextFirstIndent"/>
      </w:pPr>
      <w:r>
        <w:t>Promptly following submission of the offer of resignation, the Nominating and Corporate Governance Committee will consider the offer of resignation and make a recommendation to the full Board as to whether to accept or reject the offer of resignation, or whether other action should be taken.  The Board will consider the Nominating and Corporate Governance Committee</w:t>
      </w:r>
      <w:r w:rsidR="00E871FB">
        <w:t>’</w:t>
      </w:r>
      <w:r>
        <w:t>s recommendation and act on the offer of resignation at the next regularly scheduled Board meeting following receipt of such recommendation.  The Nominating and Corporate Governance Committee in making its recommendation, and the Board in making its decision, may each consider any factors or other information that it considers appropriate and relevant</w:t>
      </w:r>
      <w:r w:rsidR="006D14CD">
        <w:t xml:space="preserve">.  </w:t>
      </w:r>
      <w:r>
        <w:t>The Director who offers his or her resignation will not participate in the recommendation of the Nominating and Corporate Governance Committee or the decision of the Board with respect to his or her offer of resignation.  Promptly following the Board</w:t>
      </w:r>
      <w:r w:rsidR="00E871FB">
        <w:t>’</w:t>
      </w:r>
      <w:r>
        <w:t xml:space="preserve">s decision regarding the offer of resignation, the </w:t>
      </w:r>
      <w:r w:rsidR="0073027B">
        <w:t>Company</w:t>
      </w:r>
      <w:r>
        <w:t xml:space="preserve"> will publicly disclose (by a press release, a filing with the SEC or other broadly disseminated means of communication) such decision and the rationale behind the decision.</w:t>
      </w:r>
    </w:p>
    <w:p w14:paraId="535FBAFF" w14:textId="77777777" w:rsidR="006A315F" w:rsidRDefault="006A315F" w:rsidP="006A315F">
      <w:pPr>
        <w:pStyle w:val="BodyTextFirstIndent"/>
      </w:pPr>
      <w:r>
        <w:t>If such incumbent Director</w:t>
      </w:r>
      <w:r w:rsidR="00E871FB">
        <w:t>’</w:t>
      </w:r>
      <w:r>
        <w:t>s offer of resignation is not accepted by the Board, such Director will continue to serve until his or her successor is duly elected, or his or her earlier resignation or removal.  If a Director</w:t>
      </w:r>
      <w:r w:rsidR="00E871FB">
        <w:t>’</w:t>
      </w:r>
      <w:r>
        <w:t>s offer of resignation is accepted by the Board, then the Board, in its sole discretion, may fill any resulting vacancy pursuant to the provisions of Section </w:t>
      </w:r>
      <w:r w:rsidR="00766922">
        <w:t>3.9</w:t>
      </w:r>
      <w:r w:rsidR="006D14CD">
        <w:t xml:space="preserve"> </w:t>
      </w:r>
      <w:r>
        <w:t>of</w:t>
      </w:r>
      <w:r w:rsidR="006D14CD">
        <w:t xml:space="preserve"> </w:t>
      </w:r>
      <w:r>
        <w:t>the</w:t>
      </w:r>
      <w:r w:rsidR="006D14CD">
        <w:t xml:space="preserve"> </w:t>
      </w:r>
      <w:r w:rsidR="0073027B">
        <w:t>Company</w:t>
      </w:r>
      <w:r w:rsidR="00E871FB">
        <w:t>’</w:t>
      </w:r>
      <w:r>
        <w:t>s</w:t>
      </w:r>
      <w:r w:rsidR="006D14CD">
        <w:t xml:space="preserve"> </w:t>
      </w:r>
      <w:r>
        <w:t>By</w:t>
      </w:r>
      <w:r w:rsidR="00766922">
        <w:t>l</w:t>
      </w:r>
      <w:r>
        <w:t>aws</w:t>
      </w:r>
      <w:r w:rsidR="006D14CD">
        <w:t xml:space="preserve"> </w:t>
      </w:r>
      <w:r>
        <w:t>or</w:t>
      </w:r>
      <w:r w:rsidR="006D14CD">
        <w:t xml:space="preserve"> </w:t>
      </w:r>
      <w:r>
        <w:t>may decrease</w:t>
      </w:r>
      <w:r w:rsidR="006D14CD">
        <w:t xml:space="preserve"> </w:t>
      </w:r>
      <w:r>
        <w:t>the</w:t>
      </w:r>
      <w:r w:rsidR="006D14CD">
        <w:t xml:space="preserve"> </w:t>
      </w:r>
      <w:r>
        <w:t>size</w:t>
      </w:r>
      <w:r w:rsidR="006D14CD">
        <w:t xml:space="preserve"> </w:t>
      </w:r>
      <w:r>
        <w:t>of</w:t>
      </w:r>
      <w:r w:rsidR="006D14CD">
        <w:t xml:space="preserve"> </w:t>
      </w:r>
      <w:r>
        <w:t>the</w:t>
      </w:r>
      <w:r w:rsidR="006D14CD">
        <w:t xml:space="preserve"> </w:t>
      </w:r>
      <w:r>
        <w:t>Board</w:t>
      </w:r>
      <w:r w:rsidR="006D14CD">
        <w:t xml:space="preserve"> </w:t>
      </w:r>
      <w:r>
        <w:t>pursuant</w:t>
      </w:r>
      <w:r w:rsidR="006D14CD">
        <w:t xml:space="preserve"> </w:t>
      </w:r>
      <w:r>
        <w:t>to the provisions of Section </w:t>
      </w:r>
      <w:r w:rsidR="00766922">
        <w:t>3.2</w:t>
      </w:r>
      <w:r>
        <w:t xml:space="preserve"> of the </w:t>
      </w:r>
      <w:r w:rsidR="0073027B">
        <w:t>Company</w:t>
      </w:r>
      <w:r w:rsidR="00E871FB">
        <w:t>’</w:t>
      </w:r>
      <w:r>
        <w:t>s By</w:t>
      </w:r>
      <w:r w:rsidR="00766922">
        <w:t>l</w:t>
      </w:r>
      <w:r>
        <w:t>aws.</w:t>
      </w:r>
    </w:p>
    <w:p w14:paraId="34E6C3C1" w14:textId="343E107F" w:rsidR="003C68B6" w:rsidRDefault="003C68B6" w:rsidP="003C68B6">
      <w:pPr>
        <w:pStyle w:val="Heading1"/>
      </w:pPr>
      <w:bookmarkStart w:id="41" w:name="_Toc169774824"/>
      <w:r>
        <w:t>Annual Review and Amendment</w:t>
      </w:r>
      <w:bookmarkEnd w:id="41"/>
    </w:p>
    <w:p w14:paraId="2BB32F59" w14:textId="22FB77E2" w:rsidR="003C68B6" w:rsidRPr="003C68B6" w:rsidRDefault="003C68B6" w:rsidP="00F66EF3">
      <w:pPr>
        <w:pStyle w:val="BodyText"/>
        <w:ind w:firstLine="720"/>
      </w:pPr>
      <w:r>
        <w:t>T</w:t>
      </w:r>
      <w:r w:rsidRPr="003C68B6">
        <w:t xml:space="preserve">he Nominating and Corporate Governance Committee is responsible for </w:t>
      </w:r>
      <w:r>
        <w:t xml:space="preserve">annually </w:t>
      </w:r>
      <w:r w:rsidRPr="003C68B6">
        <w:t xml:space="preserve">reviewing these </w:t>
      </w:r>
      <w:r>
        <w:t>g</w:t>
      </w:r>
      <w:r w:rsidRPr="003C68B6">
        <w:t>uidelines and, where appropriate, recommending any changes to the Board.</w:t>
      </w:r>
    </w:p>
    <w:p w14:paraId="1A95B642" w14:textId="77777777" w:rsidR="006A315F" w:rsidRDefault="006A315F" w:rsidP="006A315F"/>
    <w:sectPr w:rsidR="006A315F" w:rsidSect="00910646">
      <w:footerReference w:type="defaul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2B225" w14:textId="77777777" w:rsidR="00D76C3F" w:rsidRDefault="00D76C3F" w:rsidP="006D14CD">
      <w:r>
        <w:separator/>
      </w:r>
    </w:p>
  </w:endnote>
  <w:endnote w:type="continuationSeparator" w:id="0">
    <w:p w14:paraId="26BD85DE" w14:textId="77777777" w:rsidR="00D76C3F" w:rsidRDefault="00D76C3F" w:rsidP="006D1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6FE30" w14:textId="77777777" w:rsidR="006D14CD" w:rsidRPr="00910646" w:rsidRDefault="006D14CD" w:rsidP="00910646">
    <w:pPr>
      <w:pStyle w:val="Footer"/>
      <w:jc w:val="center"/>
    </w:pPr>
    <w:r>
      <w:t>-</w:t>
    </w:r>
    <w:r>
      <w:fldChar w:fldCharType="begin"/>
    </w:r>
    <w:r>
      <w:instrText xml:space="preserve"> PAGE  \* MERGEFORMAT </w:instrText>
    </w:r>
    <w:r>
      <w:fldChar w:fldCharType="separate"/>
    </w:r>
    <w:r w:rsidR="00827754">
      <w:rPr>
        <w:noProof/>
      </w:rPr>
      <w:t>11</w:t>
    </w:r>
    <w: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3EE09" w14:textId="77777777" w:rsidR="00975F1B" w:rsidRPr="00975F1B" w:rsidRDefault="00975F1B" w:rsidP="00975F1B">
    <w:pPr>
      <w:framePr w:w="11520" w:hSpace="180" w:wrap="notBeside" w:vAnchor="page" w:hAnchor="page" w:xAlign="center" w:yAlign="bottom" w:anchorLock="1"/>
      <w:tabs>
        <w:tab w:val="right" w:pos="11520"/>
      </w:tabs>
      <w:spacing w:after="360"/>
      <w:rPr>
        <w:rFonts w:ascii="Arial" w:hAnsi="Arial" w:cs="Arial"/>
        <w:sz w:val="16"/>
      </w:rPr>
    </w:pPr>
    <w:bookmarkStart w:id="0" w:name="_DocIDStamp"/>
    <w:r>
      <w:rPr>
        <w:rFonts w:ascii="Arial" w:hAnsi="Arial" w:cs="Arial"/>
        <w:sz w:val="16"/>
      </w:rPr>
      <w:tab/>
    </w:r>
  </w:p>
  <w:bookmarkEnd w:id="0"/>
  <w:p w14:paraId="7D1F9819" w14:textId="77777777" w:rsidR="006D14CD" w:rsidRDefault="006D14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E1AC0" w14:textId="77777777" w:rsidR="006D14CD" w:rsidRPr="00910646" w:rsidRDefault="006D14CD" w:rsidP="00910646">
    <w:pPr>
      <w:pStyle w:val="Footer"/>
      <w:jc w:val="center"/>
    </w:pPr>
    <w:r>
      <w:fldChar w:fldCharType="begin"/>
    </w:r>
    <w:r>
      <w:instrText xml:space="preserve"> PAGE  \* MERGEFORMAT </w:instrText>
    </w:r>
    <w:r>
      <w:fldChar w:fldCharType="separate"/>
    </w:r>
    <w:r w:rsidR="000A136A">
      <w:rPr>
        <w:noProof/>
      </w:rP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13AF" w14:textId="77777777" w:rsidR="00827754" w:rsidRDefault="008277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C04A" w14:textId="77777777" w:rsidR="006D14CD" w:rsidRPr="00910646" w:rsidRDefault="006D14CD" w:rsidP="00910646">
    <w:pPr>
      <w:pStyle w:val="Footer"/>
      <w:jc w:val="center"/>
    </w:pPr>
    <w:r>
      <w:fldChar w:fldCharType="begin"/>
    </w:r>
    <w:r>
      <w:instrText xml:space="preserve"> PAGE  \* MERGEFORMAT </w:instrText>
    </w:r>
    <w:r>
      <w:fldChar w:fldCharType="separate"/>
    </w:r>
    <w:r w:rsidR="000A136A">
      <w:rPr>
        <w:noProof/>
      </w:rPr>
      <w:t>11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4BB14" w14:textId="77777777" w:rsidR="006D14CD" w:rsidRDefault="006D1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44CA6" w14:textId="77777777" w:rsidR="00D76C3F" w:rsidRDefault="00D76C3F" w:rsidP="006D14CD">
      <w:r>
        <w:separator/>
      </w:r>
    </w:p>
  </w:footnote>
  <w:footnote w:type="continuationSeparator" w:id="0">
    <w:p w14:paraId="31BCFC5F" w14:textId="77777777" w:rsidR="00D76C3F" w:rsidRDefault="00D76C3F" w:rsidP="006D1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50642C"/>
    <w:name w:val="List Number 5"/>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56F30C"/>
    <w:name w:val="List Number 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D106AAC"/>
    <w:name w:val="List Number 3"/>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2B00204"/>
    <w:name w:val="List Number 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B9E4E92"/>
    <w:name w:val="List Bullet 5"/>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90F642"/>
    <w:name w:val="List Bullet 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8A5E78"/>
    <w:name w:val="List Bullet 3"/>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4A9920"/>
    <w:name w:val="List Bullet 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7CC7B8"/>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4C962"/>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B7442706"/>
    <w:name w:val="General Numbering (1)"/>
    <w:lvl w:ilvl="0">
      <w:start w:val="1"/>
      <w:numFmt w:val="decimal"/>
      <w:pStyle w:val="Heading1"/>
      <w:lvlText w:val="%1."/>
      <w:lvlJc w:val="left"/>
      <w:pPr>
        <w:tabs>
          <w:tab w:val="num" w:pos="720"/>
        </w:tabs>
        <w:ind w:left="720" w:hanging="720"/>
      </w:pPr>
      <w:rPr>
        <w:rFonts w:ascii="Times New Roman" w:hAnsi="Times New Roman" w:hint="default"/>
        <w:b w:val="0"/>
        <w:i w:val="0"/>
        <w:caps w:val="0"/>
        <w:vanish w:val="0"/>
        <w:color w:val="010000"/>
        <w:sz w:val="24"/>
        <w:u w:val="none"/>
      </w:rPr>
    </w:lvl>
    <w:lvl w:ilvl="1">
      <w:start w:val="1"/>
      <w:numFmt w:val="upperLetter"/>
      <w:pStyle w:val="Heading2"/>
      <w:lvlText w:val="%2."/>
      <w:lvlJc w:val="left"/>
      <w:pPr>
        <w:tabs>
          <w:tab w:val="num" w:pos="2160"/>
        </w:tabs>
        <w:ind w:left="720" w:firstLine="720"/>
      </w:pPr>
      <w:rPr>
        <w:rFonts w:ascii="Times New Roman" w:hAnsi="Times New Roman" w:hint="default"/>
        <w:b w:val="0"/>
        <w:i w:val="0"/>
        <w:caps w:val="0"/>
        <w:vanish w:val="0"/>
        <w:color w:val="010000"/>
        <w:sz w:val="24"/>
        <w:u w:val="none"/>
      </w:rPr>
    </w:lvl>
    <w:lvl w:ilvl="2">
      <w:start w:val="1"/>
      <w:numFmt w:val="lowerRoman"/>
      <w:pStyle w:val="Heading3"/>
      <w:lvlText w:val="(%3)"/>
      <w:lvlJc w:val="left"/>
      <w:pPr>
        <w:tabs>
          <w:tab w:val="num" w:pos="2160"/>
        </w:tabs>
        <w:ind w:left="2160" w:hanging="720"/>
      </w:pPr>
      <w:rPr>
        <w:rFonts w:hint="default"/>
        <w:caps w:val="0"/>
        <w:vanish w:val="0"/>
        <w:color w:val="010000"/>
        <w:u w:val="none"/>
      </w:rPr>
    </w:lvl>
    <w:lvl w:ilvl="3">
      <w:start w:val="1"/>
      <w:numFmt w:val="decimal"/>
      <w:pStyle w:val="Heading4"/>
      <w:lvlText w:val="(%4)"/>
      <w:lvlJc w:val="left"/>
      <w:pPr>
        <w:tabs>
          <w:tab w:val="num" w:pos="2880"/>
        </w:tabs>
        <w:ind w:left="2880" w:hanging="720"/>
      </w:pPr>
      <w:rPr>
        <w:rFonts w:hint="default"/>
        <w:caps w:val="0"/>
        <w:vanish w:val="0"/>
        <w:color w:val="010000"/>
        <w:u w:val="none"/>
      </w:rPr>
    </w:lvl>
    <w:lvl w:ilvl="4">
      <w:start w:val="1"/>
      <w:numFmt w:val="lowerLetter"/>
      <w:pStyle w:val="Heading5"/>
      <w:lvlText w:val="%5."/>
      <w:lvlJc w:val="left"/>
      <w:pPr>
        <w:tabs>
          <w:tab w:val="num" w:pos="3600"/>
        </w:tabs>
        <w:ind w:left="3600" w:hanging="720"/>
      </w:pPr>
      <w:rPr>
        <w:rFonts w:hint="default"/>
        <w:caps w:val="0"/>
        <w:vanish w:val="0"/>
        <w:color w:val="010000"/>
        <w:u w:val="none"/>
      </w:rPr>
    </w:lvl>
    <w:lvl w:ilvl="5">
      <w:start w:val="1"/>
      <w:numFmt w:val="lowerRoman"/>
      <w:pStyle w:val="Heading6"/>
      <w:lvlText w:val="%6."/>
      <w:lvlJc w:val="left"/>
      <w:pPr>
        <w:tabs>
          <w:tab w:val="num" w:pos="4320"/>
        </w:tabs>
        <w:ind w:left="4320" w:hanging="720"/>
      </w:pPr>
      <w:rPr>
        <w:rFonts w:hint="default"/>
        <w:caps w:val="0"/>
        <w:vanish w:val="0"/>
        <w:color w:val="010000"/>
        <w:u w:val="none"/>
      </w:rPr>
    </w:lvl>
    <w:lvl w:ilvl="6">
      <w:start w:val="1"/>
      <w:numFmt w:val="decimal"/>
      <w:pStyle w:val="Heading7"/>
      <w:lvlText w:val="%7)"/>
      <w:lvlJc w:val="left"/>
      <w:pPr>
        <w:tabs>
          <w:tab w:val="num" w:pos="5040"/>
        </w:tabs>
        <w:ind w:left="5040" w:hanging="720"/>
      </w:pPr>
      <w:rPr>
        <w:rFonts w:hint="default"/>
        <w:caps w:val="0"/>
        <w:vanish w:val="0"/>
        <w:color w:val="010000"/>
        <w:u w:val="none"/>
      </w:rPr>
    </w:lvl>
    <w:lvl w:ilvl="7">
      <w:start w:val="1"/>
      <w:numFmt w:val="lowerLetter"/>
      <w:pStyle w:val="Heading8"/>
      <w:lvlText w:val="%8)"/>
      <w:lvlJc w:val="left"/>
      <w:pPr>
        <w:tabs>
          <w:tab w:val="num" w:pos="5760"/>
        </w:tabs>
        <w:ind w:left="5760" w:hanging="720"/>
      </w:pPr>
      <w:rPr>
        <w:rFonts w:hint="default"/>
        <w:caps w:val="0"/>
        <w:vanish w:val="0"/>
        <w:color w:val="010000"/>
        <w:u w:val="none"/>
      </w:rPr>
    </w:lvl>
    <w:lvl w:ilvl="8">
      <w:start w:val="1"/>
      <w:numFmt w:val="lowerRoman"/>
      <w:pStyle w:val="Heading9"/>
      <w:lvlText w:val="%9)"/>
      <w:lvlJc w:val="left"/>
      <w:pPr>
        <w:tabs>
          <w:tab w:val="num" w:pos="6480"/>
        </w:tabs>
        <w:ind w:left="6480" w:hanging="720"/>
      </w:pPr>
      <w:rPr>
        <w:rFonts w:hint="default"/>
        <w:caps w:val="0"/>
        <w:vanish w:val="0"/>
        <w:color w:val="010000"/>
        <w:u w:val="none"/>
      </w:rPr>
    </w:lvl>
  </w:abstractNum>
  <w:abstractNum w:abstractNumId="11" w15:restartNumberingAfterBreak="0">
    <w:nsid w:val="0FD501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4EA01E0"/>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ABD01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EA248DF"/>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17F7F8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28730B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4107A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7A87594"/>
    <w:multiLevelType w:val="singleLevel"/>
    <w:tmpl w:val="04FEEB82"/>
    <w:name w:val="Numbered List"/>
    <w:lvl w:ilvl="0">
      <w:start w:val="1"/>
      <w:numFmt w:val="decimal"/>
      <w:pStyle w:val="NumberedList"/>
      <w:lvlText w:val="%1."/>
      <w:lvlJc w:val="left"/>
      <w:pPr>
        <w:tabs>
          <w:tab w:val="num" w:pos="432"/>
        </w:tabs>
        <w:ind w:left="432" w:hanging="432"/>
      </w:pPr>
    </w:lvl>
  </w:abstractNum>
  <w:abstractNum w:abstractNumId="19" w15:restartNumberingAfterBreak="0">
    <w:nsid w:val="47D44F3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4994A73"/>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74C1573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45060413">
    <w:abstractNumId w:val="19"/>
  </w:num>
  <w:num w:numId="2" w16cid:durableId="799616041">
    <w:abstractNumId w:val="16"/>
  </w:num>
  <w:num w:numId="3" w16cid:durableId="579751804">
    <w:abstractNumId w:val="21"/>
  </w:num>
  <w:num w:numId="4" w16cid:durableId="1701084421">
    <w:abstractNumId w:val="11"/>
  </w:num>
  <w:num w:numId="5" w16cid:durableId="1158767776">
    <w:abstractNumId w:val="20"/>
  </w:num>
  <w:num w:numId="6" w16cid:durableId="1128595818">
    <w:abstractNumId w:val="14"/>
  </w:num>
  <w:num w:numId="7" w16cid:durableId="545290928">
    <w:abstractNumId w:val="9"/>
  </w:num>
  <w:num w:numId="8" w16cid:durableId="1576669829">
    <w:abstractNumId w:val="9"/>
  </w:num>
  <w:num w:numId="9" w16cid:durableId="1817794634">
    <w:abstractNumId w:val="7"/>
  </w:num>
  <w:num w:numId="10" w16cid:durableId="459496605">
    <w:abstractNumId w:val="7"/>
  </w:num>
  <w:num w:numId="11" w16cid:durableId="1575702244">
    <w:abstractNumId w:val="6"/>
  </w:num>
  <w:num w:numId="12" w16cid:durableId="65613409">
    <w:abstractNumId w:val="6"/>
  </w:num>
  <w:num w:numId="13" w16cid:durableId="487285878">
    <w:abstractNumId w:val="8"/>
  </w:num>
  <w:num w:numId="14" w16cid:durableId="1419672019">
    <w:abstractNumId w:val="8"/>
  </w:num>
  <w:num w:numId="15" w16cid:durableId="435952747">
    <w:abstractNumId w:val="3"/>
  </w:num>
  <w:num w:numId="16" w16cid:durableId="1708680380">
    <w:abstractNumId w:val="3"/>
  </w:num>
  <w:num w:numId="17" w16cid:durableId="1446121772">
    <w:abstractNumId w:val="2"/>
  </w:num>
  <w:num w:numId="18" w16cid:durableId="367416470">
    <w:abstractNumId w:val="2"/>
  </w:num>
  <w:num w:numId="19" w16cid:durableId="1296913135">
    <w:abstractNumId w:val="5"/>
  </w:num>
  <w:num w:numId="20" w16cid:durableId="1951736000">
    <w:abstractNumId w:val="4"/>
  </w:num>
  <w:num w:numId="21" w16cid:durableId="485048041">
    <w:abstractNumId w:val="1"/>
  </w:num>
  <w:num w:numId="22" w16cid:durableId="373778889">
    <w:abstractNumId w:val="0"/>
  </w:num>
  <w:num w:numId="23" w16cid:durableId="967516941">
    <w:abstractNumId w:val="15"/>
  </w:num>
  <w:num w:numId="24" w16cid:durableId="23362720">
    <w:abstractNumId w:val="13"/>
  </w:num>
  <w:num w:numId="25" w16cid:durableId="734741268">
    <w:abstractNumId w:val="12"/>
  </w:num>
  <w:num w:numId="26" w16cid:durableId="29769564">
    <w:abstractNumId w:val="10"/>
  </w:num>
  <w:num w:numId="27" w16cid:durableId="1502356908">
    <w:abstractNumId w:val="10"/>
  </w:num>
  <w:num w:numId="28" w16cid:durableId="1616404231">
    <w:abstractNumId w:val="10"/>
  </w:num>
  <w:num w:numId="29" w16cid:durableId="74061449">
    <w:abstractNumId w:val="10"/>
  </w:num>
  <w:num w:numId="30" w16cid:durableId="99566455">
    <w:abstractNumId w:val="10"/>
  </w:num>
  <w:num w:numId="31" w16cid:durableId="1069378542">
    <w:abstractNumId w:val="10"/>
  </w:num>
  <w:num w:numId="32" w16cid:durableId="1841000230">
    <w:abstractNumId w:val="10"/>
  </w:num>
  <w:num w:numId="33" w16cid:durableId="1221945229">
    <w:abstractNumId w:val="10"/>
  </w:num>
  <w:num w:numId="34" w16cid:durableId="1127629692">
    <w:abstractNumId w:val="10"/>
  </w:num>
  <w:num w:numId="35" w16cid:durableId="1172141827">
    <w:abstractNumId w:val="9"/>
  </w:num>
  <w:num w:numId="36" w16cid:durableId="340086820">
    <w:abstractNumId w:val="7"/>
  </w:num>
  <w:num w:numId="37" w16cid:durableId="454638690">
    <w:abstractNumId w:val="6"/>
  </w:num>
  <w:num w:numId="38" w16cid:durableId="687293329">
    <w:abstractNumId w:val="5"/>
  </w:num>
  <w:num w:numId="39" w16cid:durableId="202913640">
    <w:abstractNumId w:val="4"/>
  </w:num>
  <w:num w:numId="40" w16cid:durableId="1236236250">
    <w:abstractNumId w:val="8"/>
  </w:num>
  <w:num w:numId="41" w16cid:durableId="1631550964">
    <w:abstractNumId w:val="3"/>
  </w:num>
  <w:num w:numId="42" w16cid:durableId="401106072">
    <w:abstractNumId w:val="2"/>
  </w:num>
  <w:num w:numId="43" w16cid:durableId="781457283">
    <w:abstractNumId w:val="1"/>
  </w:num>
  <w:num w:numId="44" w16cid:durableId="1372144898">
    <w:abstractNumId w:val="0"/>
  </w:num>
  <w:num w:numId="45" w16cid:durableId="267784394">
    <w:abstractNumId w:val="18"/>
  </w:num>
  <w:num w:numId="46" w16cid:durableId="1531407945">
    <w:abstractNumId w:val="17"/>
  </w:num>
  <w:num w:numId="47" w16cid:durableId="15571619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enterLevel1TOC" w:val="False"/>
    <w:docVar w:name="DefaultNumberOfLevelsInTOCForThisScheme" w:val="3"/>
    <w:docVar w:name="DoubleSpace" w:val="0"/>
    <w:docVar w:name="DraftDate" w:val="12/16/16"/>
    <w:docVar w:name="DraftStamp" w:val="True"/>
    <w:docVar w:name="ExcludeDirectFormattingInTOC" w:val="True"/>
    <w:docVar w:name="FirstLineIndent" w:val="0"/>
    <w:docVar w:name="FontName" w:val="Times New Roman"/>
    <w:docVar w:name="FooterStamp" w:val="True"/>
    <w:docVar w:name="FooterStampDateTimePosition" w:val="None"/>
    <w:docVar w:name="FooterStampIncludeDocNum" w:val="1"/>
    <w:docVar w:name="FooterStampWhichPages" w:val="First"/>
    <w:docVar w:name="HeaderStampsWhichPages" w:val="First"/>
    <w:docVar w:name="HyperlinkTOC" w:val="False"/>
    <w:docVar w:name="IncludeCoverPage" w:val="0"/>
    <w:docVar w:name="IncludeSchedule" w:val="0"/>
    <w:docVar w:name="IncludeTOC" w:val="0"/>
    <w:docVar w:name="IncludeTOCAndPageHeadings" w:val="False"/>
    <w:docVar w:name="LastSchemeChoice" w:val="General Numbering (1)"/>
    <w:docVar w:name="LastSchemeUniqueID" w:val="90"/>
    <w:docVar w:name="NoNumberLevel1TOC" w:val="False"/>
    <w:docVar w:name="Option0True" w:val="False"/>
    <w:docVar w:name="Option1True" w:val="False"/>
    <w:docVar w:name="Option2True" w:val="False"/>
    <w:docVar w:name="Option3True" w:val="False"/>
    <w:docVar w:name="Option4True" w:val="False"/>
    <w:docVar w:name="Option5True" w:val="False"/>
    <w:docVar w:name="PrivilegeCount" w:val="1"/>
    <w:docVar w:name="PrivilegeStamp" w:val="True"/>
    <w:docVar w:name="PrivilegeStampText1" w:val="PRIVILEGED AND CONFIDENTIAL"/>
    <w:docVar w:name="TOCFormatConst" w:val="0"/>
    <w:docVar w:name="TOCFormatPreference" w:val="Leave TOC styles 'as is' in current document (default)"/>
    <w:docVar w:name="TOCHeadingAllCaps" w:val="False"/>
    <w:docVar w:name="TOCHeadingUnderlined" w:val="False"/>
    <w:docVar w:name="TOCIncludeNonHeadings" w:val="False"/>
    <w:docVar w:name="TOCIncludeSectionBreaks" w:val="False"/>
    <w:docVar w:name="TOCIncludeTCFields" w:val="False"/>
    <w:docVar w:name="TOCPageUnderlined" w:val="False"/>
    <w:docVar w:name="TOCPosition" w:val="Current cursor position"/>
    <w:docVar w:name="TOCRun" w:val="True"/>
    <w:docVar w:name="TOCSpecialLevels" w:val="False"/>
    <w:docVar w:name="UnderlineTOCLevel1" w:val="False"/>
    <w:docVar w:name="UpperLevelTOC" w:val="1"/>
    <w:docVar w:name="WLRKWord Version" w:val="2003"/>
    <w:docVar w:name="zzmp10NoTrailerPromptID" w:val="NG-TKD98IZ4.4165-8397-3456.2"/>
  </w:docVars>
  <w:rsids>
    <w:rsidRoot w:val="00910646"/>
    <w:rsid w:val="000130F7"/>
    <w:rsid w:val="0001663A"/>
    <w:rsid w:val="00026F36"/>
    <w:rsid w:val="00040B55"/>
    <w:rsid w:val="00050AA6"/>
    <w:rsid w:val="00051F28"/>
    <w:rsid w:val="00070C41"/>
    <w:rsid w:val="0008376F"/>
    <w:rsid w:val="00085202"/>
    <w:rsid w:val="00097B96"/>
    <w:rsid w:val="000A136A"/>
    <w:rsid w:val="000B66E9"/>
    <w:rsid w:val="000B69DB"/>
    <w:rsid w:val="000C7A4E"/>
    <w:rsid w:val="00110CE2"/>
    <w:rsid w:val="0011646E"/>
    <w:rsid w:val="00123CED"/>
    <w:rsid w:val="00132D3F"/>
    <w:rsid w:val="00146E6B"/>
    <w:rsid w:val="00173C8D"/>
    <w:rsid w:val="00181FEE"/>
    <w:rsid w:val="001A4D84"/>
    <w:rsid w:val="001B38AC"/>
    <w:rsid w:val="001C3424"/>
    <w:rsid w:val="001C3C7E"/>
    <w:rsid w:val="001C7A82"/>
    <w:rsid w:val="001E54CB"/>
    <w:rsid w:val="00207EAE"/>
    <w:rsid w:val="00212F93"/>
    <w:rsid w:val="00213647"/>
    <w:rsid w:val="0022044D"/>
    <w:rsid w:val="00222AAF"/>
    <w:rsid w:val="002324BD"/>
    <w:rsid w:val="0024000C"/>
    <w:rsid w:val="00243362"/>
    <w:rsid w:val="00282360"/>
    <w:rsid w:val="00295D3B"/>
    <w:rsid w:val="002B2630"/>
    <w:rsid w:val="002D647F"/>
    <w:rsid w:val="002E0278"/>
    <w:rsid w:val="002E0F5D"/>
    <w:rsid w:val="002E6542"/>
    <w:rsid w:val="002F757C"/>
    <w:rsid w:val="002F787B"/>
    <w:rsid w:val="00341DC0"/>
    <w:rsid w:val="00343487"/>
    <w:rsid w:val="003469CB"/>
    <w:rsid w:val="00352EAD"/>
    <w:rsid w:val="0036038A"/>
    <w:rsid w:val="0036134C"/>
    <w:rsid w:val="00387AE9"/>
    <w:rsid w:val="00393E91"/>
    <w:rsid w:val="003A7C7A"/>
    <w:rsid w:val="003B7645"/>
    <w:rsid w:val="003C68B6"/>
    <w:rsid w:val="003E3238"/>
    <w:rsid w:val="003F7F31"/>
    <w:rsid w:val="0040624F"/>
    <w:rsid w:val="004150E7"/>
    <w:rsid w:val="00432182"/>
    <w:rsid w:val="00451B43"/>
    <w:rsid w:val="004613F6"/>
    <w:rsid w:val="00464594"/>
    <w:rsid w:val="004758BC"/>
    <w:rsid w:val="004B6C22"/>
    <w:rsid w:val="004C4A63"/>
    <w:rsid w:val="004C5FAB"/>
    <w:rsid w:val="004D4E7A"/>
    <w:rsid w:val="004F0A9F"/>
    <w:rsid w:val="004F3EC7"/>
    <w:rsid w:val="00523DE6"/>
    <w:rsid w:val="005242C6"/>
    <w:rsid w:val="00530B6C"/>
    <w:rsid w:val="00546784"/>
    <w:rsid w:val="00554DF2"/>
    <w:rsid w:val="00567B47"/>
    <w:rsid w:val="00576529"/>
    <w:rsid w:val="005A0306"/>
    <w:rsid w:val="005E3755"/>
    <w:rsid w:val="00612E9B"/>
    <w:rsid w:val="00615095"/>
    <w:rsid w:val="006163AD"/>
    <w:rsid w:val="00623B89"/>
    <w:rsid w:val="00630CB3"/>
    <w:rsid w:val="00631A63"/>
    <w:rsid w:val="00651111"/>
    <w:rsid w:val="00653935"/>
    <w:rsid w:val="00663B4F"/>
    <w:rsid w:val="006A1B18"/>
    <w:rsid w:val="006A315F"/>
    <w:rsid w:val="006A4348"/>
    <w:rsid w:val="006C5A13"/>
    <w:rsid w:val="006C7AF7"/>
    <w:rsid w:val="006D14CD"/>
    <w:rsid w:val="006D53C2"/>
    <w:rsid w:val="006D70B0"/>
    <w:rsid w:val="006E3481"/>
    <w:rsid w:val="00704FFD"/>
    <w:rsid w:val="00706CAE"/>
    <w:rsid w:val="0073027B"/>
    <w:rsid w:val="00737CAD"/>
    <w:rsid w:val="00753FAD"/>
    <w:rsid w:val="00766922"/>
    <w:rsid w:val="007C27BA"/>
    <w:rsid w:val="007C4C54"/>
    <w:rsid w:val="007D6D30"/>
    <w:rsid w:val="007F5BD1"/>
    <w:rsid w:val="007F6570"/>
    <w:rsid w:val="007F784A"/>
    <w:rsid w:val="008055B2"/>
    <w:rsid w:val="00815669"/>
    <w:rsid w:val="00827754"/>
    <w:rsid w:val="008425EF"/>
    <w:rsid w:val="00845AD4"/>
    <w:rsid w:val="00853228"/>
    <w:rsid w:val="00856093"/>
    <w:rsid w:val="008614C7"/>
    <w:rsid w:val="00861D78"/>
    <w:rsid w:val="0086520F"/>
    <w:rsid w:val="00865FD6"/>
    <w:rsid w:val="00867A68"/>
    <w:rsid w:val="00884DCB"/>
    <w:rsid w:val="008967B2"/>
    <w:rsid w:val="008D4EEB"/>
    <w:rsid w:val="00901642"/>
    <w:rsid w:val="00905857"/>
    <w:rsid w:val="00910646"/>
    <w:rsid w:val="0091552E"/>
    <w:rsid w:val="009211FB"/>
    <w:rsid w:val="0094097F"/>
    <w:rsid w:val="00941D41"/>
    <w:rsid w:val="009429B6"/>
    <w:rsid w:val="00963333"/>
    <w:rsid w:val="009675ED"/>
    <w:rsid w:val="00975F1B"/>
    <w:rsid w:val="00987187"/>
    <w:rsid w:val="009913AD"/>
    <w:rsid w:val="009A594B"/>
    <w:rsid w:val="009D2C2A"/>
    <w:rsid w:val="009E189C"/>
    <w:rsid w:val="009F00CB"/>
    <w:rsid w:val="00A01A34"/>
    <w:rsid w:val="00A02E81"/>
    <w:rsid w:val="00A05C14"/>
    <w:rsid w:val="00A05D45"/>
    <w:rsid w:val="00A071EB"/>
    <w:rsid w:val="00A0722A"/>
    <w:rsid w:val="00A30174"/>
    <w:rsid w:val="00A35D1D"/>
    <w:rsid w:val="00A426BE"/>
    <w:rsid w:val="00A7170D"/>
    <w:rsid w:val="00A77916"/>
    <w:rsid w:val="00A8021D"/>
    <w:rsid w:val="00A94CD1"/>
    <w:rsid w:val="00AA4391"/>
    <w:rsid w:val="00AB2B02"/>
    <w:rsid w:val="00B67B04"/>
    <w:rsid w:val="00B93C9A"/>
    <w:rsid w:val="00BB2D4F"/>
    <w:rsid w:val="00C110AE"/>
    <w:rsid w:val="00C12348"/>
    <w:rsid w:val="00C26DEE"/>
    <w:rsid w:val="00C32737"/>
    <w:rsid w:val="00C42D4D"/>
    <w:rsid w:val="00C70725"/>
    <w:rsid w:val="00C7343E"/>
    <w:rsid w:val="00CA6861"/>
    <w:rsid w:val="00CC1C91"/>
    <w:rsid w:val="00CE7CAC"/>
    <w:rsid w:val="00CF3A45"/>
    <w:rsid w:val="00D26C9B"/>
    <w:rsid w:val="00D27BA3"/>
    <w:rsid w:val="00D6475A"/>
    <w:rsid w:val="00D67A1D"/>
    <w:rsid w:val="00D71124"/>
    <w:rsid w:val="00D74A6B"/>
    <w:rsid w:val="00D76C3F"/>
    <w:rsid w:val="00DA3138"/>
    <w:rsid w:val="00DC62FD"/>
    <w:rsid w:val="00DD6657"/>
    <w:rsid w:val="00DD6894"/>
    <w:rsid w:val="00E10531"/>
    <w:rsid w:val="00E20B39"/>
    <w:rsid w:val="00E32032"/>
    <w:rsid w:val="00E3610A"/>
    <w:rsid w:val="00E41854"/>
    <w:rsid w:val="00E425E1"/>
    <w:rsid w:val="00E45FAC"/>
    <w:rsid w:val="00E62F60"/>
    <w:rsid w:val="00E72263"/>
    <w:rsid w:val="00E8646B"/>
    <w:rsid w:val="00E871FB"/>
    <w:rsid w:val="00EA0BF6"/>
    <w:rsid w:val="00ED1BD7"/>
    <w:rsid w:val="00EE6666"/>
    <w:rsid w:val="00EF1AC6"/>
    <w:rsid w:val="00F166F4"/>
    <w:rsid w:val="00F35515"/>
    <w:rsid w:val="00F42F9A"/>
    <w:rsid w:val="00F66EF3"/>
    <w:rsid w:val="00F67266"/>
    <w:rsid w:val="00F81A6B"/>
    <w:rsid w:val="00F908B4"/>
    <w:rsid w:val="00FA7D36"/>
    <w:rsid w:val="00FB4C80"/>
    <w:rsid w:val="00FD174F"/>
    <w:rsid w:val="00FD56B8"/>
    <w:rsid w:val="00FD6329"/>
    <w:rsid w:val="00FE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658B9"/>
  <w15:docId w15:val="{8377FEDE-F4EC-4808-AD59-4F14EC97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315F"/>
    <w:rPr>
      <w:rFonts w:ascii="Times New Roman" w:hAnsi="Times New Roman"/>
      <w:sz w:val="24"/>
    </w:rPr>
  </w:style>
  <w:style w:type="paragraph" w:styleId="Heading1">
    <w:name w:val="heading 1"/>
    <w:basedOn w:val="Normal"/>
    <w:next w:val="BodyText"/>
    <w:link w:val="Heading1Char"/>
    <w:qFormat/>
    <w:rsid w:val="006D14CD"/>
    <w:pPr>
      <w:keepNext/>
      <w:numPr>
        <w:numId w:val="34"/>
      </w:numPr>
      <w:spacing w:after="240"/>
      <w:outlineLvl w:val="0"/>
    </w:pPr>
    <w:rPr>
      <w:color w:val="000000"/>
      <w:u w:val="single" w:color="000000"/>
    </w:rPr>
  </w:style>
  <w:style w:type="paragraph" w:styleId="Heading2">
    <w:name w:val="heading 2"/>
    <w:basedOn w:val="Normal"/>
    <w:next w:val="BodyText"/>
    <w:link w:val="Heading2Char"/>
    <w:qFormat/>
    <w:rsid w:val="006A315F"/>
    <w:pPr>
      <w:numPr>
        <w:ilvl w:val="1"/>
        <w:numId w:val="34"/>
      </w:numPr>
      <w:spacing w:after="240"/>
      <w:outlineLvl w:val="1"/>
    </w:pPr>
    <w:rPr>
      <w:color w:val="000000"/>
      <w:u w:color="000000"/>
    </w:rPr>
  </w:style>
  <w:style w:type="paragraph" w:styleId="Heading3">
    <w:name w:val="heading 3"/>
    <w:basedOn w:val="Normal"/>
    <w:next w:val="BodyText"/>
    <w:link w:val="Heading3Char"/>
    <w:qFormat/>
    <w:rsid w:val="006A315F"/>
    <w:pPr>
      <w:numPr>
        <w:ilvl w:val="2"/>
        <w:numId w:val="34"/>
      </w:numPr>
      <w:spacing w:after="240"/>
      <w:outlineLvl w:val="2"/>
    </w:pPr>
    <w:rPr>
      <w:color w:val="000000"/>
      <w:u w:color="000000"/>
    </w:rPr>
  </w:style>
  <w:style w:type="paragraph" w:styleId="Heading4">
    <w:name w:val="heading 4"/>
    <w:basedOn w:val="Normal"/>
    <w:next w:val="BodyText"/>
    <w:link w:val="Heading4Char"/>
    <w:qFormat/>
    <w:rsid w:val="006A315F"/>
    <w:pPr>
      <w:numPr>
        <w:ilvl w:val="3"/>
        <w:numId w:val="34"/>
      </w:numPr>
      <w:spacing w:after="240"/>
      <w:outlineLvl w:val="3"/>
    </w:pPr>
    <w:rPr>
      <w:color w:val="000000"/>
      <w:u w:color="000000"/>
    </w:rPr>
  </w:style>
  <w:style w:type="paragraph" w:styleId="Heading5">
    <w:name w:val="heading 5"/>
    <w:basedOn w:val="Normal"/>
    <w:next w:val="BodyText"/>
    <w:link w:val="Heading5Char"/>
    <w:qFormat/>
    <w:rsid w:val="006A315F"/>
    <w:pPr>
      <w:numPr>
        <w:ilvl w:val="4"/>
        <w:numId w:val="34"/>
      </w:numPr>
      <w:spacing w:after="240"/>
      <w:outlineLvl w:val="4"/>
    </w:pPr>
    <w:rPr>
      <w:color w:val="000000"/>
      <w:u w:color="000000"/>
    </w:rPr>
  </w:style>
  <w:style w:type="paragraph" w:styleId="Heading6">
    <w:name w:val="heading 6"/>
    <w:basedOn w:val="Normal"/>
    <w:next w:val="BodyText"/>
    <w:link w:val="Heading6Char"/>
    <w:qFormat/>
    <w:rsid w:val="006A315F"/>
    <w:pPr>
      <w:numPr>
        <w:ilvl w:val="5"/>
        <w:numId w:val="34"/>
      </w:numPr>
      <w:spacing w:after="240"/>
      <w:outlineLvl w:val="5"/>
    </w:pPr>
    <w:rPr>
      <w:color w:val="000000"/>
      <w:u w:color="000000"/>
    </w:rPr>
  </w:style>
  <w:style w:type="paragraph" w:styleId="Heading7">
    <w:name w:val="heading 7"/>
    <w:basedOn w:val="Normal"/>
    <w:next w:val="BodyText"/>
    <w:link w:val="Heading7Char"/>
    <w:qFormat/>
    <w:rsid w:val="006A315F"/>
    <w:pPr>
      <w:numPr>
        <w:ilvl w:val="6"/>
        <w:numId w:val="34"/>
      </w:numPr>
      <w:spacing w:after="240"/>
      <w:outlineLvl w:val="6"/>
    </w:pPr>
    <w:rPr>
      <w:color w:val="000000"/>
      <w:u w:color="000000"/>
    </w:rPr>
  </w:style>
  <w:style w:type="paragraph" w:styleId="Heading8">
    <w:name w:val="heading 8"/>
    <w:basedOn w:val="Normal"/>
    <w:next w:val="BodyText"/>
    <w:link w:val="Heading8Char"/>
    <w:qFormat/>
    <w:rsid w:val="006A315F"/>
    <w:pPr>
      <w:numPr>
        <w:ilvl w:val="7"/>
        <w:numId w:val="34"/>
      </w:numPr>
      <w:spacing w:after="240"/>
      <w:outlineLvl w:val="7"/>
    </w:pPr>
    <w:rPr>
      <w:color w:val="000000"/>
      <w:u w:color="000000"/>
    </w:rPr>
  </w:style>
  <w:style w:type="paragraph" w:styleId="Heading9">
    <w:name w:val="heading 9"/>
    <w:basedOn w:val="Normal"/>
    <w:next w:val="BodyText"/>
    <w:link w:val="Heading9Char"/>
    <w:qFormat/>
    <w:rsid w:val="006A315F"/>
    <w:pPr>
      <w:numPr>
        <w:ilvl w:val="8"/>
        <w:numId w:val="34"/>
      </w:numPr>
      <w:spacing w:after="240"/>
      <w:outlineLvl w:val="8"/>
    </w:pPr>
    <w:rPr>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A0722A"/>
    <w:pPr>
      <w:numPr>
        <w:numId w:val="1"/>
      </w:numPr>
    </w:pPr>
  </w:style>
  <w:style w:type="numbering" w:styleId="1ai">
    <w:name w:val="Outline List 1"/>
    <w:basedOn w:val="NoList"/>
    <w:semiHidden/>
    <w:rsid w:val="00A0722A"/>
    <w:pPr>
      <w:numPr>
        <w:numId w:val="3"/>
      </w:numPr>
    </w:pPr>
  </w:style>
  <w:style w:type="character" w:customStyle="1" w:styleId="Heading1Char">
    <w:name w:val="Heading 1 Char"/>
    <w:link w:val="Heading1"/>
    <w:rsid w:val="006D14CD"/>
    <w:rPr>
      <w:rFonts w:ascii="Times New Roman" w:hAnsi="Times New Roman"/>
      <w:color w:val="000000"/>
      <w:sz w:val="24"/>
      <w:u w:val="single" w:color="000000"/>
    </w:rPr>
  </w:style>
  <w:style w:type="character" w:customStyle="1" w:styleId="Heading2Char">
    <w:name w:val="Heading 2 Char"/>
    <w:link w:val="Heading2"/>
    <w:rsid w:val="006A315F"/>
    <w:rPr>
      <w:rFonts w:ascii="Times New Roman" w:hAnsi="Times New Roman"/>
      <w:color w:val="000000"/>
      <w:sz w:val="24"/>
      <w:u w:color="000000"/>
    </w:rPr>
  </w:style>
  <w:style w:type="character" w:customStyle="1" w:styleId="Heading3Char">
    <w:name w:val="Heading 3 Char"/>
    <w:link w:val="Heading3"/>
    <w:rsid w:val="006A315F"/>
    <w:rPr>
      <w:rFonts w:ascii="Times New Roman" w:hAnsi="Times New Roman"/>
      <w:color w:val="000000"/>
      <w:sz w:val="24"/>
      <w:u w:color="000000"/>
    </w:rPr>
  </w:style>
  <w:style w:type="character" w:customStyle="1" w:styleId="Heading4Char">
    <w:name w:val="Heading 4 Char"/>
    <w:link w:val="Heading4"/>
    <w:rsid w:val="006A315F"/>
    <w:rPr>
      <w:rFonts w:ascii="Times New Roman" w:hAnsi="Times New Roman"/>
      <w:color w:val="000000"/>
      <w:sz w:val="24"/>
      <w:u w:color="000000"/>
    </w:rPr>
  </w:style>
  <w:style w:type="character" w:customStyle="1" w:styleId="Heading5Char">
    <w:name w:val="Heading 5 Char"/>
    <w:link w:val="Heading5"/>
    <w:rsid w:val="006A315F"/>
    <w:rPr>
      <w:rFonts w:ascii="Times New Roman" w:hAnsi="Times New Roman"/>
      <w:color w:val="000000"/>
      <w:sz w:val="24"/>
      <w:u w:color="000000"/>
    </w:rPr>
  </w:style>
  <w:style w:type="character" w:customStyle="1" w:styleId="Heading6Char">
    <w:name w:val="Heading 6 Char"/>
    <w:link w:val="Heading6"/>
    <w:rsid w:val="006A315F"/>
    <w:rPr>
      <w:rFonts w:ascii="Times New Roman" w:hAnsi="Times New Roman"/>
      <w:color w:val="000000"/>
      <w:sz w:val="24"/>
      <w:u w:color="000000"/>
    </w:rPr>
  </w:style>
  <w:style w:type="character" w:customStyle="1" w:styleId="Heading7Char">
    <w:name w:val="Heading 7 Char"/>
    <w:link w:val="Heading7"/>
    <w:rsid w:val="006A315F"/>
    <w:rPr>
      <w:rFonts w:ascii="Times New Roman" w:hAnsi="Times New Roman"/>
      <w:color w:val="000000"/>
      <w:sz w:val="24"/>
      <w:u w:color="000000"/>
    </w:rPr>
  </w:style>
  <w:style w:type="character" w:customStyle="1" w:styleId="Heading8Char">
    <w:name w:val="Heading 8 Char"/>
    <w:link w:val="Heading8"/>
    <w:rsid w:val="006A315F"/>
    <w:rPr>
      <w:rFonts w:ascii="Times New Roman" w:hAnsi="Times New Roman"/>
      <w:color w:val="000000"/>
      <w:sz w:val="24"/>
      <w:u w:color="000000"/>
    </w:rPr>
  </w:style>
  <w:style w:type="character" w:customStyle="1" w:styleId="Heading9Char">
    <w:name w:val="Heading 9 Char"/>
    <w:link w:val="Heading9"/>
    <w:rsid w:val="006A315F"/>
    <w:rPr>
      <w:rFonts w:ascii="Times New Roman" w:hAnsi="Times New Roman"/>
      <w:color w:val="000000"/>
      <w:sz w:val="24"/>
      <w:u w:color="000000"/>
    </w:rPr>
  </w:style>
  <w:style w:type="numbering" w:styleId="ArticleSection">
    <w:name w:val="Outline List 3"/>
    <w:basedOn w:val="NoList"/>
    <w:semiHidden/>
    <w:rsid w:val="00A0722A"/>
    <w:pPr>
      <w:numPr>
        <w:numId w:val="5"/>
      </w:numPr>
    </w:pPr>
  </w:style>
  <w:style w:type="paragraph" w:styleId="BlockText">
    <w:name w:val="Block Text"/>
    <w:basedOn w:val="Normal"/>
    <w:rsid w:val="00A0722A"/>
    <w:pPr>
      <w:spacing w:after="120"/>
      <w:ind w:left="1440" w:right="1440"/>
    </w:pPr>
  </w:style>
  <w:style w:type="paragraph" w:styleId="BodyText">
    <w:name w:val="Body Text"/>
    <w:basedOn w:val="Normal"/>
    <w:link w:val="BodyTextChar"/>
    <w:rsid w:val="00A0722A"/>
    <w:pPr>
      <w:spacing w:after="240"/>
    </w:pPr>
  </w:style>
  <w:style w:type="character" w:customStyle="1" w:styleId="BodyTextChar">
    <w:name w:val="Body Text Char"/>
    <w:link w:val="BodyText"/>
    <w:rsid w:val="00212F93"/>
    <w:rPr>
      <w:rFonts w:ascii="Times New Roman" w:hAnsi="Times New Roman"/>
      <w:sz w:val="24"/>
    </w:rPr>
  </w:style>
  <w:style w:type="paragraph" w:customStyle="1" w:styleId="BodyTextContinued">
    <w:name w:val="Body Text Continued"/>
    <w:basedOn w:val="Normal"/>
    <w:rsid w:val="00212F93"/>
    <w:pPr>
      <w:spacing w:after="240"/>
    </w:pPr>
  </w:style>
  <w:style w:type="paragraph" w:customStyle="1" w:styleId="CenteredHeading">
    <w:name w:val="Centered Heading"/>
    <w:basedOn w:val="Normal"/>
    <w:next w:val="BodyText"/>
    <w:rsid w:val="00A0722A"/>
    <w:pPr>
      <w:keepNext/>
      <w:spacing w:after="240"/>
      <w:ind w:left="1800" w:right="1800"/>
      <w:jc w:val="center"/>
    </w:pPr>
    <w:rPr>
      <w:caps/>
      <w:u w:val="single"/>
    </w:rPr>
  </w:style>
  <w:style w:type="character" w:styleId="Emphasis">
    <w:name w:val="Emphasis"/>
    <w:basedOn w:val="DefaultParagraphFont"/>
    <w:qFormat/>
    <w:rsid w:val="00A0722A"/>
    <w:rPr>
      <w:rFonts w:ascii="Times New Roman" w:hAnsi="Times New Roman"/>
      <w:i/>
    </w:rPr>
  </w:style>
  <w:style w:type="character" w:styleId="FollowedHyperlink">
    <w:name w:val="FollowedHyperlink"/>
    <w:basedOn w:val="DefaultParagraphFont"/>
    <w:semiHidden/>
    <w:rsid w:val="00A0722A"/>
    <w:rPr>
      <w:rFonts w:ascii="Courier New" w:hAnsi="Courier New"/>
      <w:color w:val="800080"/>
      <w:u w:val="single"/>
    </w:rPr>
  </w:style>
  <w:style w:type="paragraph" w:styleId="Footer">
    <w:name w:val="footer"/>
    <w:basedOn w:val="Normal"/>
    <w:link w:val="FooterChar"/>
    <w:rsid w:val="00A0722A"/>
    <w:pPr>
      <w:tabs>
        <w:tab w:val="center" w:pos="4320"/>
        <w:tab w:val="right" w:pos="8640"/>
      </w:tabs>
    </w:pPr>
  </w:style>
  <w:style w:type="character" w:customStyle="1" w:styleId="FooterChar">
    <w:name w:val="Footer Char"/>
    <w:link w:val="Footer"/>
    <w:rsid w:val="00212F93"/>
    <w:rPr>
      <w:rFonts w:ascii="Times New Roman" w:hAnsi="Times New Roman"/>
      <w:sz w:val="24"/>
    </w:rPr>
  </w:style>
  <w:style w:type="paragraph" w:styleId="Header">
    <w:name w:val="header"/>
    <w:basedOn w:val="Normal"/>
    <w:link w:val="HeaderChar"/>
    <w:rsid w:val="00A0722A"/>
    <w:pPr>
      <w:tabs>
        <w:tab w:val="center" w:pos="4320"/>
        <w:tab w:val="right" w:pos="8640"/>
      </w:tabs>
    </w:pPr>
  </w:style>
  <w:style w:type="character" w:customStyle="1" w:styleId="HeaderChar">
    <w:name w:val="Header Char"/>
    <w:link w:val="Header"/>
    <w:rsid w:val="00212F93"/>
    <w:rPr>
      <w:rFonts w:ascii="Times New Roman" w:hAnsi="Times New Roman"/>
      <w:sz w:val="24"/>
    </w:rPr>
  </w:style>
  <w:style w:type="character" w:styleId="HTMLAcronym">
    <w:name w:val="HTML Acronym"/>
    <w:basedOn w:val="DefaultParagraphFont"/>
    <w:semiHidden/>
    <w:rsid w:val="00A0722A"/>
  </w:style>
  <w:style w:type="paragraph" w:styleId="HTMLAddress">
    <w:name w:val="HTML Address"/>
    <w:basedOn w:val="Normal"/>
    <w:link w:val="HTMLAddressChar"/>
    <w:semiHidden/>
    <w:rsid w:val="00A0722A"/>
    <w:rPr>
      <w:i/>
      <w:iCs/>
    </w:rPr>
  </w:style>
  <w:style w:type="character" w:customStyle="1" w:styleId="HTMLAddressChar">
    <w:name w:val="HTML Address Char"/>
    <w:link w:val="HTMLAddress"/>
    <w:semiHidden/>
    <w:rsid w:val="00212F93"/>
    <w:rPr>
      <w:rFonts w:ascii="Times New Roman" w:hAnsi="Times New Roman"/>
      <w:i/>
      <w:iCs/>
      <w:sz w:val="24"/>
    </w:rPr>
  </w:style>
  <w:style w:type="character" w:styleId="HTMLCite">
    <w:name w:val="HTML Cite"/>
    <w:basedOn w:val="DefaultParagraphFont"/>
    <w:semiHidden/>
    <w:rsid w:val="00A0722A"/>
    <w:rPr>
      <w:i/>
      <w:iCs/>
    </w:rPr>
  </w:style>
  <w:style w:type="character" w:styleId="HTMLCode">
    <w:name w:val="HTML Code"/>
    <w:basedOn w:val="DefaultParagraphFont"/>
    <w:semiHidden/>
    <w:rsid w:val="00A0722A"/>
    <w:rPr>
      <w:rFonts w:ascii="Courier New" w:hAnsi="Courier New" w:cs="Courier New"/>
      <w:sz w:val="20"/>
      <w:szCs w:val="20"/>
    </w:rPr>
  </w:style>
  <w:style w:type="character" w:styleId="HTMLDefinition">
    <w:name w:val="HTML Definition"/>
    <w:basedOn w:val="DefaultParagraphFont"/>
    <w:semiHidden/>
    <w:rsid w:val="00A0722A"/>
    <w:rPr>
      <w:i/>
      <w:iCs/>
    </w:rPr>
  </w:style>
  <w:style w:type="character" w:styleId="HTMLKeyboard">
    <w:name w:val="HTML Keyboard"/>
    <w:basedOn w:val="DefaultParagraphFont"/>
    <w:semiHidden/>
    <w:rsid w:val="00A0722A"/>
    <w:rPr>
      <w:rFonts w:ascii="Courier New" w:hAnsi="Courier New" w:cs="Courier New"/>
      <w:sz w:val="20"/>
      <w:szCs w:val="20"/>
    </w:rPr>
  </w:style>
  <w:style w:type="paragraph" w:styleId="HTMLPreformatted">
    <w:name w:val="HTML Preformatted"/>
    <w:basedOn w:val="Normal"/>
    <w:link w:val="HTMLPreformattedChar"/>
    <w:semiHidden/>
    <w:rsid w:val="00A0722A"/>
    <w:rPr>
      <w:rFonts w:ascii="Courier New" w:hAnsi="Courier New" w:cs="Courier New"/>
      <w:sz w:val="20"/>
    </w:rPr>
  </w:style>
  <w:style w:type="character" w:customStyle="1" w:styleId="HTMLPreformattedChar">
    <w:name w:val="HTML Preformatted Char"/>
    <w:link w:val="HTMLPreformatted"/>
    <w:semiHidden/>
    <w:rsid w:val="00212F93"/>
    <w:rPr>
      <w:rFonts w:ascii="Courier New" w:hAnsi="Courier New" w:cs="Courier New"/>
    </w:rPr>
  </w:style>
  <w:style w:type="character" w:styleId="HTMLSample">
    <w:name w:val="HTML Sample"/>
    <w:basedOn w:val="DefaultParagraphFont"/>
    <w:semiHidden/>
    <w:rsid w:val="00A0722A"/>
    <w:rPr>
      <w:rFonts w:ascii="Courier New" w:hAnsi="Courier New" w:cs="Courier New"/>
    </w:rPr>
  </w:style>
  <w:style w:type="character" w:styleId="HTMLTypewriter">
    <w:name w:val="HTML Typewriter"/>
    <w:basedOn w:val="DefaultParagraphFont"/>
    <w:semiHidden/>
    <w:rsid w:val="00A0722A"/>
    <w:rPr>
      <w:rFonts w:ascii="Courier New" w:hAnsi="Courier New" w:cs="Courier New"/>
      <w:sz w:val="20"/>
      <w:szCs w:val="20"/>
    </w:rPr>
  </w:style>
  <w:style w:type="character" w:styleId="HTMLVariable">
    <w:name w:val="HTML Variable"/>
    <w:basedOn w:val="DefaultParagraphFont"/>
    <w:semiHidden/>
    <w:rsid w:val="00A0722A"/>
    <w:rPr>
      <w:i/>
      <w:iCs/>
    </w:rPr>
  </w:style>
  <w:style w:type="character" w:styleId="Hyperlink">
    <w:name w:val="Hyperlink"/>
    <w:basedOn w:val="DefaultParagraphFont"/>
    <w:semiHidden/>
    <w:rsid w:val="00A0722A"/>
    <w:rPr>
      <w:rFonts w:ascii="Courier New" w:hAnsi="Courier New"/>
      <w:color w:val="0000FF"/>
      <w:u w:val="single"/>
    </w:rPr>
  </w:style>
  <w:style w:type="paragraph" w:customStyle="1" w:styleId="LeftHeading">
    <w:name w:val="Left Heading"/>
    <w:basedOn w:val="Normal"/>
    <w:next w:val="Normal"/>
    <w:rsid w:val="00A0722A"/>
    <w:pPr>
      <w:keepNext/>
      <w:spacing w:after="240"/>
      <w:ind w:right="4320"/>
    </w:pPr>
  </w:style>
  <w:style w:type="paragraph" w:styleId="ListBullet">
    <w:name w:val="List Bullet"/>
    <w:basedOn w:val="Normal"/>
    <w:rsid w:val="00A0722A"/>
    <w:pPr>
      <w:numPr>
        <w:numId w:val="35"/>
      </w:numPr>
    </w:pPr>
  </w:style>
  <w:style w:type="paragraph" w:styleId="ListBullet2">
    <w:name w:val="List Bullet 2"/>
    <w:basedOn w:val="Normal"/>
    <w:rsid w:val="00A0722A"/>
    <w:pPr>
      <w:numPr>
        <w:numId w:val="36"/>
      </w:numPr>
    </w:pPr>
  </w:style>
  <w:style w:type="paragraph" w:styleId="ListBullet3">
    <w:name w:val="List Bullet 3"/>
    <w:basedOn w:val="Normal"/>
    <w:rsid w:val="00A0722A"/>
    <w:pPr>
      <w:numPr>
        <w:numId w:val="37"/>
      </w:numPr>
    </w:pPr>
  </w:style>
  <w:style w:type="paragraph" w:styleId="ListContinue">
    <w:name w:val="List Continue"/>
    <w:basedOn w:val="Normal"/>
    <w:rsid w:val="00A0722A"/>
    <w:pPr>
      <w:spacing w:after="120"/>
      <w:ind w:left="360"/>
    </w:pPr>
  </w:style>
  <w:style w:type="paragraph" w:styleId="ListContinue2">
    <w:name w:val="List Continue 2"/>
    <w:basedOn w:val="Normal"/>
    <w:rsid w:val="00A0722A"/>
    <w:pPr>
      <w:spacing w:after="120"/>
      <w:ind w:left="720"/>
    </w:pPr>
  </w:style>
  <w:style w:type="paragraph" w:styleId="ListContinue3">
    <w:name w:val="List Continue 3"/>
    <w:basedOn w:val="Normal"/>
    <w:rsid w:val="00A0722A"/>
    <w:pPr>
      <w:spacing w:after="120"/>
      <w:ind w:left="1080"/>
    </w:pPr>
  </w:style>
  <w:style w:type="paragraph" w:styleId="ListNumber">
    <w:name w:val="List Number"/>
    <w:basedOn w:val="Normal"/>
    <w:rsid w:val="00A0722A"/>
    <w:pPr>
      <w:numPr>
        <w:numId w:val="40"/>
      </w:numPr>
    </w:pPr>
  </w:style>
  <w:style w:type="paragraph" w:styleId="ListNumber2">
    <w:name w:val="List Number 2"/>
    <w:basedOn w:val="Normal"/>
    <w:rsid w:val="00A0722A"/>
    <w:pPr>
      <w:numPr>
        <w:numId w:val="41"/>
      </w:numPr>
    </w:pPr>
  </w:style>
  <w:style w:type="paragraph" w:styleId="ListNumber3">
    <w:name w:val="List Number 3"/>
    <w:basedOn w:val="Normal"/>
    <w:rsid w:val="00A0722A"/>
    <w:pPr>
      <w:numPr>
        <w:numId w:val="42"/>
      </w:numPr>
    </w:pPr>
  </w:style>
  <w:style w:type="paragraph" w:styleId="Quote">
    <w:name w:val="Quote"/>
    <w:basedOn w:val="Normal"/>
    <w:link w:val="QuoteChar"/>
    <w:qFormat/>
    <w:rsid w:val="00A0722A"/>
    <w:pPr>
      <w:spacing w:after="240"/>
      <w:ind w:left="720"/>
    </w:pPr>
  </w:style>
  <w:style w:type="character" w:customStyle="1" w:styleId="QuoteChar">
    <w:name w:val="Quote Char"/>
    <w:link w:val="Quote"/>
    <w:rsid w:val="00212F93"/>
    <w:rPr>
      <w:rFonts w:ascii="Times New Roman" w:hAnsi="Times New Roman"/>
      <w:sz w:val="24"/>
    </w:rPr>
  </w:style>
  <w:style w:type="character" w:styleId="Strong">
    <w:name w:val="Strong"/>
    <w:qFormat/>
    <w:rsid w:val="00212F93"/>
    <w:rPr>
      <w:b/>
      <w:bCs/>
    </w:rPr>
  </w:style>
  <w:style w:type="table" w:styleId="Table3Deffects1">
    <w:name w:val="Table 3D effects 1"/>
    <w:basedOn w:val="TableNormal"/>
    <w:semiHidden/>
    <w:rsid w:val="00A0722A"/>
    <w:rPr>
      <w:rFonts w:ascii="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0722A"/>
    <w:rPr>
      <w:rFonts w:ascii="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0722A"/>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0722A"/>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0722A"/>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0722A"/>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0722A"/>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0722A"/>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0722A"/>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0722A"/>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0722A"/>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0722A"/>
    <w:rPr>
      <w:rFonts w:ascii="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0722A"/>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0722A"/>
    <w:rPr>
      <w:rFonts w:ascii="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0722A"/>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0722A"/>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0722A"/>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12F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0722A"/>
    <w:rPr>
      <w:rFonts w:ascii="Times New Roman" w:hAnsi="Times New Roman"/>
    </w:rP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0722A"/>
    <w:rPr>
      <w:rFonts w:ascii="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0722A"/>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0722A"/>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0722A"/>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0722A"/>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0722A"/>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0722A"/>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0722A"/>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0722A"/>
    <w:rPr>
      <w:rFonts w:ascii="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0722A"/>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0722A"/>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0722A"/>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0722A"/>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0722A"/>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0722A"/>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0722A"/>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0722A"/>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0722A"/>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0722A"/>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0722A"/>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0722A"/>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0722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0722A"/>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0722A"/>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0722A"/>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0722A"/>
    <w:pPr>
      <w:keepNext/>
      <w:spacing w:after="240"/>
      <w:jc w:val="center"/>
      <w:outlineLvl w:val="0"/>
    </w:pPr>
    <w:rPr>
      <w:b/>
      <w:caps/>
      <w:kern w:val="28"/>
      <w:szCs w:val="24"/>
    </w:rPr>
  </w:style>
  <w:style w:type="character" w:customStyle="1" w:styleId="TitleChar">
    <w:name w:val="Title Char"/>
    <w:link w:val="Title"/>
    <w:rsid w:val="00212F93"/>
    <w:rPr>
      <w:rFonts w:ascii="Times New Roman" w:hAnsi="Times New Roman"/>
      <w:b/>
      <w:caps/>
      <w:kern w:val="28"/>
      <w:sz w:val="24"/>
      <w:szCs w:val="24"/>
    </w:rPr>
  </w:style>
  <w:style w:type="character" w:customStyle="1" w:styleId="Underline">
    <w:name w:val="Underline"/>
    <w:rsid w:val="00212F93"/>
    <w:rPr>
      <w:u w:val="single"/>
    </w:rPr>
  </w:style>
  <w:style w:type="paragraph" w:customStyle="1" w:styleId="BodyTextDoubleSpace">
    <w:name w:val="Body Text + Double Space"/>
    <w:basedOn w:val="BodyText"/>
    <w:semiHidden/>
    <w:rsid w:val="00A0722A"/>
    <w:pPr>
      <w:spacing w:line="480" w:lineRule="auto"/>
    </w:pPr>
  </w:style>
  <w:style w:type="paragraph" w:styleId="BodyText3">
    <w:name w:val="Body Text 3"/>
    <w:basedOn w:val="Normal"/>
    <w:link w:val="BodyText3Char"/>
    <w:semiHidden/>
    <w:rsid w:val="00A0722A"/>
    <w:pPr>
      <w:spacing w:after="120"/>
    </w:pPr>
    <w:rPr>
      <w:sz w:val="16"/>
    </w:rPr>
  </w:style>
  <w:style w:type="character" w:customStyle="1" w:styleId="BodyText3Char">
    <w:name w:val="Body Text 3 Char"/>
    <w:basedOn w:val="DefaultParagraphFont"/>
    <w:link w:val="BodyText3"/>
    <w:semiHidden/>
    <w:rsid w:val="00A0722A"/>
    <w:rPr>
      <w:rFonts w:ascii="Times New Roman" w:hAnsi="Times New Roman"/>
      <w:sz w:val="16"/>
    </w:rPr>
  </w:style>
  <w:style w:type="paragraph" w:styleId="BodyTextFirstIndent">
    <w:name w:val="Body Text First Indent"/>
    <w:basedOn w:val="BodyText"/>
    <w:link w:val="BodyTextFirstIndentChar"/>
    <w:semiHidden/>
    <w:rsid w:val="006A315F"/>
    <w:pPr>
      <w:ind w:firstLine="720"/>
    </w:pPr>
  </w:style>
  <w:style w:type="character" w:customStyle="1" w:styleId="BodyTextFirstIndentChar">
    <w:name w:val="Body Text First Indent Char"/>
    <w:basedOn w:val="BodyTextChar"/>
    <w:link w:val="BodyTextFirstIndent"/>
    <w:semiHidden/>
    <w:rsid w:val="006A315F"/>
    <w:rPr>
      <w:rFonts w:ascii="Times New Roman" w:hAnsi="Times New Roman"/>
      <w:sz w:val="24"/>
    </w:rPr>
  </w:style>
  <w:style w:type="paragraph" w:customStyle="1" w:styleId="BodyTextFirstIndentDoubleSpace">
    <w:name w:val="Body Text First Indent + Double Space"/>
    <w:basedOn w:val="BodyTextFirstIndent"/>
    <w:semiHidden/>
    <w:rsid w:val="00A0722A"/>
    <w:pPr>
      <w:spacing w:line="480" w:lineRule="auto"/>
    </w:pPr>
  </w:style>
  <w:style w:type="paragraph" w:styleId="BodyTextIndent">
    <w:name w:val="Body Text Indent"/>
    <w:basedOn w:val="Normal"/>
    <w:link w:val="BodyTextIndentChar"/>
    <w:semiHidden/>
    <w:rsid w:val="00A0722A"/>
    <w:pPr>
      <w:spacing w:after="120"/>
      <w:ind w:left="360"/>
    </w:pPr>
  </w:style>
  <w:style w:type="character" w:customStyle="1" w:styleId="BodyTextIndentChar">
    <w:name w:val="Body Text Indent Char"/>
    <w:basedOn w:val="DefaultParagraphFont"/>
    <w:link w:val="BodyTextIndent"/>
    <w:semiHidden/>
    <w:rsid w:val="00A0722A"/>
    <w:rPr>
      <w:rFonts w:ascii="Times New Roman" w:hAnsi="Times New Roman"/>
      <w:sz w:val="24"/>
    </w:rPr>
  </w:style>
  <w:style w:type="paragraph" w:styleId="BodyTextIndent2">
    <w:name w:val="Body Text Indent 2"/>
    <w:basedOn w:val="Normal"/>
    <w:link w:val="BodyTextIndent2Char"/>
    <w:semiHidden/>
    <w:rsid w:val="00A0722A"/>
    <w:pPr>
      <w:spacing w:after="120" w:line="480" w:lineRule="auto"/>
      <w:ind w:left="360"/>
    </w:pPr>
  </w:style>
  <w:style w:type="character" w:customStyle="1" w:styleId="BodyTextIndent2Char">
    <w:name w:val="Body Text Indent 2 Char"/>
    <w:basedOn w:val="DefaultParagraphFont"/>
    <w:link w:val="BodyTextIndent2"/>
    <w:semiHidden/>
    <w:rsid w:val="00A0722A"/>
    <w:rPr>
      <w:rFonts w:ascii="Times New Roman" w:hAnsi="Times New Roman"/>
      <w:sz w:val="24"/>
    </w:rPr>
  </w:style>
  <w:style w:type="paragraph" w:styleId="BodyTextIndent3">
    <w:name w:val="Body Text Indent 3"/>
    <w:basedOn w:val="Normal"/>
    <w:link w:val="BodyTextIndent3Char"/>
    <w:semiHidden/>
    <w:rsid w:val="00A0722A"/>
    <w:pPr>
      <w:spacing w:after="120"/>
      <w:ind w:left="360"/>
    </w:pPr>
    <w:rPr>
      <w:sz w:val="16"/>
    </w:rPr>
  </w:style>
  <w:style w:type="character" w:customStyle="1" w:styleId="BodyTextIndent3Char">
    <w:name w:val="Body Text Indent 3 Char"/>
    <w:basedOn w:val="DefaultParagraphFont"/>
    <w:link w:val="BodyTextIndent3"/>
    <w:semiHidden/>
    <w:rsid w:val="00A0722A"/>
    <w:rPr>
      <w:rFonts w:ascii="Times New Roman" w:hAnsi="Times New Roman"/>
      <w:sz w:val="16"/>
    </w:rPr>
  </w:style>
  <w:style w:type="paragraph" w:styleId="Caption">
    <w:name w:val="caption"/>
    <w:basedOn w:val="Normal"/>
    <w:next w:val="Normal"/>
    <w:qFormat/>
    <w:rsid w:val="00A0722A"/>
    <w:pPr>
      <w:spacing w:before="120" w:after="120"/>
    </w:pPr>
    <w:rPr>
      <w:b/>
    </w:rPr>
  </w:style>
  <w:style w:type="paragraph" w:customStyle="1" w:styleId="Centered">
    <w:name w:val="Centered"/>
    <w:basedOn w:val="Normal"/>
    <w:rsid w:val="00A0722A"/>
    <w:pPr>
      <w:spacing w:after="240"/>
      <w:jc w:val="center"/>
    </w:pPr>
  </w:style>
  <w:style w:type="paragraph" w:styleId="Closing">
    <w:name w:val="Closing"/>
    <w:basedOn w:val="Normal"/>
    <w:link w:val="ClosingChar"/>
    <w:rsid w:val="00A0722A"/>
    <w:pPr>
      <w:ind w:left="4320"/>
    </w:pPr>
  </w:style>
  <w:style w:type="character" w:customStyle="1" w:styleId="ClosingChar">
    <w:name w:val="Closing Char"/>
    <w:basedOn w:val="DefaultParagraphFont"/>
    <w:link w:val="Closing"/>
    <w:rsid w:val="00A0722A"/>
    <w:rPr>
      <w:rFonts w:ascii="Times New Roman" w:hAnsi="Times New Roman"/>
      <w:sz w:val="24"/>
    </w:rPr>
  </w:style>
  <w:style w:type="character" w:styleId="CommentReference">
    <w:name w:val="annotation reference"/>
    <w:basedOn w:val="DefaultParagraphFont"/>
    <w:semiHidden/>
    <w:rsid w:val="00A0722A"/>
    <w:rPr>
      <w:rFonts w:ascii="Courier New" w:hAnsi="Courier New"/>
      <w:sz w:val="16"/>
    </w:rPr>
  </w:style>
  <w:style w:type="paragraph" w:styleId="CommentText">
    <w:name w:val="annotation text"/>
    <w:basedOn w:val="Normal"/>
    <w:link w:val="CommentTextChar"/>
    <w:semiHidden/>
    <w:rsid w:val="00A0722A"/>
    <w:rPr>
      <w:sz w:val="20"/>
    </w:rPr>
  </w:style>
  <w:style w:type="character" w:customStyle="1" w:styleId="CommentTextChar">
    <w:name w:val="Comment Text Char"/>
    <w:basedOn w:val="DefaultParagraphFont"/>
    <w:link w:val="CommentText"/>
    <w:semiHidden/>
    <w:rsid w:val="00A0722A"/>
    <w:rPr>
      <w:rFonts w:ascii="Times New Roman" w:hAnsi="Times New Roman"/>
    </w:rPr>
  </w:style>
  <w:style w:type="paragraph" w:customStyle="1" w:styleId="CoverText">
    <w:name w:val="Cover Text"/>
    <w:basedOn w:val="Normal"/>
    <w:rsid w:val="00A0722A"/>
    <w:pPr>
      <w:pBdr>
        <w:top w:val="double" w:sz="4" w:space="30" w:color="auto"/>
        <w:bottom w:val="double" w:sz="4" w:space="30" w:color="auto"/>
      </w:pBdr>
      <w:ind w:left="1440" w:right="1440"/>
      <w:jc w:val="center"/>
    </w:pPr>
  </w:style>
  <w:style w:type="paragraph" w:styleId="Date">
    <w:name w:val="Date"/>
    <w:basedOn w:val="Normal"/>
    <w:next w:val="Normal"/>
    <w:link w:val="DateChar"/>
    <w:rsid w:val="00A0722A"/>
  </w:style>
  <w:style w:type="character" w:customStyle="1" w:styleId="DateChar">
    <w:name w:val="Date Char"/>
    <w:basedOn w:val="DefaultParagraphFont"/>
    <w:link w:val="Date"/>
    <w:rsid w:val="00A0722A"/>
    <w:rPr>
      <w:rFonts w:ascii="Times New Roman" w:hAnsi="Times New Roman"/>
      <w:sz w:val="24"/>
    </w:rPr>
  </w:style>
  <w:style w:type="paragraph" w:styleId="DocumentMap">
    <w:name w:val="Document Map"/>
    <w:basedOn w:val="Normal"/>
    <w:link w:val="DocumentMapChar"/>
    <w:semiHidden/>
    <w:rsid w:val="00A0722A"/>
    <w:pPr>
      <w:shd w:val="clear" w:color="auto" w:fill="000080"/>
    </w:pPr>
    <w:rPr>
      <w:rFonts w:ascii="Tahoma" w:hAnsi="Tahoma"/>
    </w:rPr>
  </w:style>
  <w:style w:type="character" w:customStyle="1" w:styleId="DocumentMapChar">
    <w:name w:val="Document Map Char"/>
    <w:basedOn w:val="DefaultParagraphFont"/>
    <w:link w:val="DocumentMap"/>
    <w:semiHidden/>
    <w:rsid w:val="00A0722A"/>
    <w:rPr>
      <w:rFonts w:ascii="Tahoma" w:hAnsi="Tahoma"/>
      <w:sz w:val="24"/>
      <w:shd w:val="clear" w:color="auto" w:fill="000080"/>
    </w:rPr>
  </w:style>
  <w:style w:type="character" w:styleId="EndnoteReference">
    <w:name w:val="endnote reference"/>
    <w:basedOn w:val="DefaultParagraphFont"/>
    <w:rsid w:val="00A0722A"/>
    <w:rPr>
      <w:rFonts w:ascii="Times New Roman" w:hAnsi="Times New Roman"/>
      <w:vertAlign w:val="superscript"/>
    </w:rPr>
  </w:style>
  <w:style w:type="paragraph" w:styleId="EndnoteText">
    <w:name w:val="endnote text"/>
    <w:basedOn w:val="Normal"/>
    <w:link w:val="EndnoteTextChar"/>
    <w:rsid w:val="00A0722A"/>
    <w:rPr>
      <w:sz w:val="20"/>
    </w:rPr>
  </w:style>
  <w:style w:type="character" w:customStyle="1" w:styleId="EndnoteTextChar">
    <w:name w:val="Endnote Text Char"/>
    <w:basedOn w:val="DefaultParagraphFont"/>
    <w:link w:val="EndnoteText"/>
    <w:rsid w:val="00A0722A"/>
    <w:rPr>
      <w:rFonts w:ascii="Times New Roman" w:hAnsi="Times New Roman"/>
    </w:rPr>
  </w:style>
  <w:style w:type="paragraph" w:styleId="EnvelopeAddress">
    <w:name w:val="envelope address"/>
    <w:basedOn w:val="Normal"/>
    <w:rsid w:val="00A0722A"/>
    <w:pPr>
      <w:framePr w:w="7920" w:h="1980" w:hRule="exact" w:hSpace="180" w:wrap="auto" w:hAnchor="page" w:xAlign="center" w:yAlign="bottom"/>
      <w:ind w:left="2880"/>
    </w:pPr>
    <w:rPr>
      <w:rFonts w:ascii="Arial" w:hAnsi="Arial"/>
    </w:rPr>
  </w:style>
  <w:style w:type="paragraph" w:styleId="EnvelopeReturn">
    <w:name w:val="envelope return"/>
    <w:basedOn w:val="Normal"/>
    <w:rsid w:val="00A0722A"/>
    <w:rPr>
      <w:rFonts w:ascii="Arial" w:hAnsi="Arial"/>
      <w:sz w:val="20"/>
    </w:rPr>
  </w:style>
  <w:style w:type="character" w:styleId="FootnoteReference">
    <w:name w:val="footnote reference"/>
    <w:basedOn w:val="DefaultParagraphFont"/>
    <w:rsid w:val="00A0722A"/>
    <w:rPr>
      <w:rFonts w:ascii="Times New Roman" w:hAnsi="Times New Roman"/>
      <w:vertAlign w:val="superscript"/>
    </w:rPr>
  </w:style>
  <w:style w:type="paragraph" w:styleId="FootnoteText">
    <w:name w:val="footnote text"/>
    <w:basedOn w:val="Normal"/>
    <w:link w:val="FootnoteTextChar"/>
    <w:rsid w:val="00A0722A"/>
    <w:rPr>
      <w:sz w:val="20"/>
    </w:rPr>
  </w:style>
  <w:style w:type="character" w:customStyle="1" w:styleId="FootnoteTextChar">
    <w:name w:val="Footnote Text Char"/>
    <w:basedOn w:val="DefaultParagraphFont"/>
    <w:link w:val="FootnoteText"/>
    <w:rsid w:val="00A0722A"/>
    <w:rPr>
      <w:rFonts w:ascii="Times New Roman" w:hAnsi="Times New Roman"/>
    </w:rPr>
  </w:style>
  <w:style w:type="paragraph" w:styleId="Index1">
    <w:name w:val="index 1"/>
    <w:basedOn w:val="Normal"/>
    <w:next w:val="Normal"/>
    <w:semiHidden/>
    <w:rsid w:val="00A0722A"/>
    <w:pPr>
      <w:tabs>
        <w:tab w:val="right" w:leader="dot" w:pos="3960"/>
      </w:tabs>
      <w:ind w:left="240" w:hanging="240"/>
    </w:pPr>
  </w:style>
  <w:style w:type="paragraph" w:styleId="Index2">
    <w:name w:val="index 2"/>
    <w:basedOn w:val="Normal"/>
    <w:next w:val="Normal"/>
    <w:semiHidden/>
    <w:rsid w:val="00A0722A"/>
    <w:pPr>
      <w:tabs>
        <w:tab w:val="right" w:leader="dot" w:pos="3960"/>
      </w:tabs>
      <w:ind w:left="480" w:hanging="240"/>
    </w:pPr>
  </w:style>
  <w:style w:type="paragraph" w:styleId="Index3">
    <w:name w:val="index 3"/>
    <w:basedOn w:val="Normal"/>
    <w:next w:val="Normal"/>
    <w:autoRedefine/>
    <w:semiHidden/>
    <w:rsid w:val="00A0722A"/>
    <w:pPr>
      <w:ind w:left="720" w:hanging="240"/>
    </w:pPr>
  </w:style>
  <w:style w:type="paragraph" w:styleId="Index4">
    <w:name w:val="index 4"/>
    <w:basedOn w:val="Normal"/>
    <w:next w:val="Normal"/>
    <w:autoRedefine/>
    <w:semiHidden/>
    <w:rsid w:val="00A0722A"/>
    <w:pPr>
      <w:ind w:left="960" w:hanging="240"/>
    </w:pPr>
  </w:style>
  <w:style w:type="paragraph" w:styleId="Index5">
    <w:name w:val="index 5"/>
    <w:basedOn w:val="Normal"/>
    <w:next w:val="Normal"/>
    <w:autoRedefine/>
    <w:semiHidden/>
    <w:rsid w:val="00A0722A"/>
    <w:pPr>
      <w:ind w:left="1200" w:hanging="240"/>
    </w:pPr>
  </w:style>
  <w:style w:type="paragraph" w:styleId="Index6">
    <w:name w:val="index 6"/>
    <w:basedOn w:val="Normal"/>
    <w:next w:val="Normal"/>
    <w:autoRedefine/>
    <w:semiHidden/>
    <w:rsid w:val="00A0722A"/>
    <w:pPr>
      <w:ind w:left="1440" w:hanging="240"/>
    </w:pPr>
  </w:style>
  <w:style w:type="paragraph" w:styleId="Index7">
    <w:name w:val="index 7"/>
    <w:basedOn w:val="Normal"/>
    <w:next w:val="Normal"/>
    <w:autoRedefine/>
    <w:semiHidden/>
    <w:rsid w:val="00A0722A"/>
    <w:pPr>
      <w:ind w:left="1680" w:hanging="240"/>
    </w:pPr>
  </w:style>
  <w:style w:type="paragraph" w:styleId="Index8">
    <w:name w:val="index 8"/>
    <w:basedOn w:val="Normal"/>
    <w:next w:val="Normal"/>
    <w:autoRedefine/>
    <w:semiHidden/>
    <w:rsid w:val="00A0722A"/>
    <w:pPr>
      <w:ind w:left="1920" w:hanging="240"/>
    </w:pPr>
  </w:style>
  <w:style w:type="paragraph" w:styleId="Index9">
    <w:name w:val="index 9"/>
    <w:basedOn w:val="Normal"/>
    <w:next w:val="Normal"/>
    <w:autoRedefine/>
    <w:semiHidden/>
    <w:rsid w:val="00A0722A"/>
    <w:pPr>
      <w:ind w:left="2160" w:hanging="240"/>
    </w:pPr>
  </w:style>
  <w:style w:type="paragraph" w:styleId="IndexHeading">
    <w:name w:val="index heading"/>
    <w:basedOn w:val="Normal"/>
    <w:next w:val="Index1"/>
    <w:semiHidden/>
    <w:rsid w:val="00A0722A"/>
  </w:style>
  <w:style w:type="paragraph" w:styleId="List">
    <w:name w:val="List"/>
    <w:basedOn w:val="Normal"/>
    <w:semiHidden/>
    <w:rsid w:val="00A0722A"/>
    <w:pPr>
      <w:ind w:left="360" w:hanging="360"/>
    </w:pPr>
  </w:style>
  <w:style w:type="paragraph" w:styleId="List2">
    <w:name w:val="List 2"/>
    <w:basedOn w:val="Normal"/>
    <w:semiHidden/>
    <w:rsid w:val="00A0722A"/>
    <w:pPr>
      <w:ind w:left="720" w:hanging="360"/>
    </w:pPr>
  </w:style>
  <w:style w:type="paragraph" w:styleId="List3">
    <w:name w:val="List 3"/>
    <w:basedOn w:val="Normal"/>
    <w:semiHidden/>
    <w:rsid w:val="00A0722A"/>
    <w:pPr>
      <w:ind w:left="1080" w:hanging="360"/>
    </w:pPr>
  </w:style>
  <w:style w:type="paragraph" w:styleId="List4">
    <w:name w:val="List 4"/>
    <w:basedOn w:val="Normal"/>
    <w:semiHidden/>
    <w:rsid w:val="00A0722A"/>
    <w:pPr>
      <w:ind w:left="1440" w:hanging="360"/>
    </w:pPr>
  </w:style>
  <w:style w:type="paragraph" w:styleId="List5">
    <w:name w:val="List 5"/>
    <w:basedOn w:val="Normal"/>
    <w:semiHidden/>
    <w:rsid w:val="00A0722A"/>
    <w:pPr>
      <w:ind w:left="1800" w:hanging="360"/>
    </w:pPr>
  </w:style>
  <w:style w:type="paragraph" w:styleId="ListBullet4">
    <w:name w:val="List Bullet 4"/>
    <w:basedOn w:val="Normal"/>
    <w:rsid w:val="00A0722A"/>
    <w:pPr>
      <w:numPr>
        <w:numId w:val="38"/>
      </w:numPr>
    </w:pPr>
  </w:style>
  <w:style w:type="paragraph" w:styleId="ListBullet5">
    <w:name w:val="List Bullet 5"/>
    <w:basedOn w:val="Normal"/>
    <w:rsid w:val="00A0722A"/>
    <w:pPr>
      <w:numPr>
        <w:numId w:val="39"/>
      </w:numPr>
    </w:pPr>
  </w:style>
  <w:style w:type="paragraph" w:styleId="ListContinue4">
    <w:name w:val="List Continue 4"/>
    <w:basedOn w:val="Normal"/>
    <w:rsid w:val="00A0722A"/>
    <w:pPr>
      <w:spacing w:after="120"/>
      <w:ind w:left="1440"/>
    </w:pPr>
  </w:style>
  <w:style w:type="paragraph" w:styleId="ListContinue5">
    <w:name w:val="List Continue 5"/>
    <w:basedOn w:val="Normal"/>
    <w:rsid w:val="00A0722A"/>
    <w:pPr>
      <w:spacing w:after="120"/>
      <w:ind w:left="1800"/>
    </w:pPr>
  </w:style>
  <w:style w:type="paragraph" w:styleId="ListNumber4">
    <w:name w:val="List Number 4"/>
    <w:basedOn w:val="Normal"/>
    <w:rsid w:val="00A0722A"/>
    <w:pPr>
      <w:numPr>
        <w:numId w:val="43"/>
      </w:numPr>
    </w:pPr>
  </w:style>
  <w:style w:type="paragraph" w:styleId="ListNumber5">
    <w:name w:val="List Number 5"/>
    <w:basedOn w:val="Normal"/>
    <w:rsid w:val="00A0722A"/>
    <w:pPr>
      <w:numPr>
        <w:numId w:val="44"/>
      </w:numPr>
    </w:pPr>
  </w:style>
  <w:style w:type="paragraph" w:styleId="MessageHeader">
    <w:name w:val="Message Header"/>
    <w:basedOn w:val="Normal"/>
    <w:link w:val="MessageHeaderChar"/>
    <w:semiHidden/>
    <w:rsid w:val="00A0722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semiHidden/>
    <w:rsid w:val="00A0722A"/>
    <w:rPr>
      <w:rFonts w:ascii="Arial" w:hAnsi="Arial"/>
      <w:sz w:val="24"/>
      <w:shd w:val="pct20" w:color="auto" w:fill="auto"/>
    </w:rPr>
  </w:style>
  <w:style w:type="paragraph" w:styleId="NormalWeb">
    <w:name w:val="Normal (Web)"/>
    <w:basedOn w:val="Normal"/>
    <w:semiHidden/>
    <w:rsid w:val="00A0722A"/>
    <w:rPr>
      <w:szCs w:val="24"/>
    </w:rPr>
  </w:style>
  <w:style w:type="paragraph" w:styleId="NormalIndent">
    <w:name w:val="Normal Indent"/>
    <w:basedOn w:val="Normal"/>
    <w:rsid w:val="00A0722A"/>
    <w:pPr>
      <w:ind w:left="720"/>
    </w:pPr>
  </w:style>
  <w:style w:type="paragraph" w:styleId="NoteHeading">
    <w:name w:val="Note Heading"/>
    <w:basedOn w:val="Normal"/>
    <w:next w:val="Normal"/>
    <w:link w:val="NoteHeadingChar"/>
    <w:rsid w:val="00A0722A"/>
  </w:style>
  <w:style w:type="character" w:customStyle="1" w:styleId="NoteHeadingChar">
    <w:name w:val="Note Heading Char"/>
    <w:basedOn w:val="DefaultParagraphFont"/>
    <w:link w:val="NoteHeading"/>
    <w:rsid w:val="00A0722A"/>
    <w:rPr>
      <w:rFonts w:ascii="Times New Roman" w:hAnsi="Times New Roman"/>
      <w:sz w:val="24"/>
    </w:rPr>
  </w:style>
  <w:style w:type="paragraph" w:customStyle="1" w:styleId="NumberedList">
    <w:name w:val="Numbered List"/>
    <w:basedOn w:val="BodyText"/>
    <w:rsid w:val="00A0722A"/>
    <w:pPr>
      <w:numPr>
        <w:numId w:val="45"/>
      </w:numPr>
    </w:pPr>
  </w:style>
  <w:style w:type="character" w:styleId="PageNumber">
    <w:name w:val="page number"/>
    <w:basedOn w:val="DefaultParagraphFont"/>
    <w:rsid w:val="00A0722A"/>
  </w:style>
  <w:style w:type="paragraph" w:customStyle="1" w:styleId="PageNumberHeader">
    <w:name w:val="Page Number Header"/>
    <w:basedOn w:val="Normal"/>
    <w:rsid w:val="00A0722A"/>
    <w:pPr>
      <w:tabs>
        <w:tab w:val="center" w:pos="8467"/>
      </w:tabs>
      <w:spacing w:after="240"/>
    </w:pPr>
  </w:style>
  <w:style w:type="paragraph" w:customStyle="1" w:styleId="PageNumberHeaderUnderlined">
    <w:name w:val="Page Number Header Underlined"/>
    <w:basedOn w:val="PageNumberHeader"/>
    <w:rsid w:val="00A0722A"/>
    <w:rPr>
      <w:szCs w:val="24"/>
      <w:u w:val="words"/>
    </w:rPr>
  </w:style>
  <w:style w:type="paragraph" w:customStyle="1" w:styleId="ParagraphDivider">
    <w:name w:val="Paragraph Divider"/>
    <w:basedOn w:val="Normal"/>
    <w:rsid w:val="00A0722A"/>
    <w:pPr>
      <w:tabs>
        <w:tab w:val="left" w:pos="576"/>
        <w:tab w:val="left" w:pos="1152"/>
        <w:tab w:val="left" w:pos="1728"/>
        <w:tab w:val="left" w:pos="2304"/>
        <w:tab w:val="left" w:pos="2880"/>
        <w:tab w:val="left" w:pos="3456"/>
        <w:tab w:val="left" w:pos="4032"/>
        <w:tab w:val="left" w:pos="4608"/>
      </w:tabs>
      <w:spacing w:after="240"/>
      <w:jc w:val="center"/>
    </w:pPr>
  </w:style>
  <w:style w:type="paragraph" w:styleId="PlainText">
    <w:name w:val="Plain Text"/>
    <w:basedOn w:val="Normal"/>
    <w:link w:val="PlainTextChar"/>
    <w:rsid w:val="00A0722A"/>
    <w:rPr>
      <w:sz w:val="20"/>
    </w:rPr>
  </w:style>
  <w:style w:type="character" w:customStyle="1" w:styleId="PlainTextChar">
    <w:name w:val="Plain Text Char"/>
    <w:basedOn w:val="DefaultParagraphFont"/>
    <w:link w:val="PlainText"/>
    <w:rsid w:val="00A0722A"/>
    <w:rPr>
      <w:rFonts w:ascii="Times New Roman" w:hAnsi="Times New Roman"/>
    </w:rPr>
  </w:style>
  <w:style w:type="paragraph" w:customStyle="1" w:styleId="RedHerring">
    <w:name w:val="Red Herring"/>
    <w:basedOn w:val="Normal"/>
    <w:rsid w:val="00A0722A"/>
    <w:rPr>
      <w:rFonts w:ascii="Arial Narrow" w:hAnsi="Arial Narrow"/>
      <w:sz w:val="16"/>
    </w:rPr>
  </w:style>
  <w:style w:type="paragraph" w:styleId="Salutation">
    <w:name w:val="Salutation"/>
    <w:basedOn w:val="Normal"/>
    <w:next w:val="Normal"/>
    <w:link w:val="SalutationChar"/>
    <w:rsid w:val="00A0722A"/>
  </w:style>
  <w:style w:type="character" w:customStyle="1" w:styleId="SalutationChar">
    <w:name w:val="Salutation Char"/>
    <w:basedOn w:val="DefaultParagraphFont"/>
    <w:link w:val="Salutation"/>
    <w:rsid w:val="00A0722A"/>
    <w:rPr>
      <w:rFonts w:ascii="Times New Roman" w:hAnsi="Times New Roman"/>
      <w:sz w:val="24"/>
    </w:rPr>
  </w:style>
  <w:style w:type="paragraph" w:customStyle="1" w:styleId="ScheduleAndExhibits">
    <w:name w:val="Schedule And Exhibits"/>
    <w:basedOn w:val="Normal"/>
    <w:rsid w:val="00A0722A"/>
    <w:pPr>
      <w:tabs>
        <w:tab w:val="left" w:pos="2880"/>
      </w:tabs>
      <w:spacing w:after="240"/>
      <w:ind w:left="2880" w:hanging="2880"/>
    </w:pPr>
  </w:style>
  <w:style w:type="paragraph" w:styleId="Signature">
    <w:name w:val="Signature"/>
    <w:basedOn w:val="Normal"/>
    <w:link w:val="SignatureChar"/>
    <w:rsid w:val="00A0722A"/>
    <w:pPr>
      <w:ind w:left="4320"/>
    </w:pPr>
  </w:style>
  <w:style w:type="character" w:customStyle="1" w:styleId="SignatureChar">
    <w:name w:val="Signature Char"/>
    <w:basedOn w:val="DefaultParagraphFont"/>
    <w:link w:val="Signature"/>
    <w:rsid w:val="00A0722A"/>
    <w:rPr>
      <w:rFonts w:ascii="Times New Roman" w:hAnsi="Times New Roman"/>
      <w:sz w:val="24"/>
    </w:rPr>
  </w:style>
  <w:style w:type="paragraph" w:styleId="Subtitle">
    <w:name w:val="Subtitle"/>
    <w:basedOn w:val="Normal"/>
    <w:link w:val="SubtitleChar"/>
    <w:qFormat/>
    <w:rsid w:val="00A0722A"/>
    <w:pPr>
      <w:spacing w:after="60"/>
      <w:jc w:val="center"/>
      <w:outlineLvl w:val="1"/>
    </w:pPr>
    <w:rPr>
      <w:rFonts w:ascii="Arial" w:hAnsi="Arial"/>
    </w:rPr>
  </w:style>
  <w:style w:type="character" w:customStyle="1" w:styleId="SubtitleChar">
    <w:name w:val="Subtitle Char"/>
    <w:basedOn w:val="DefaultParagraphFont"/>
    <w:link w:val="Subtitle"/>
    <w:rsid w:val="00A0722A"/>
    <w:rPr>
      <w:rFonts w:ascii="Arial" w:hAnsi="Arial"/>
      <w:sz w:val="24"/>
    </w:rPr>
  </w:style>
  <w:style w:type="paragraph" w:styleId="TableofAuthorities">
    <w:name w:val="table of authorities"/>
    <w:basedOn w:val="Normal"/>
    <w:next w:val="Normal"/>
    <w:semiHidden/>
    <w:rsid w:val="00A0722A"/>
    <w:pPr>
      <w:ind w:left="240" w:hanging="240"/>
    </w:pPr>
  </w:style>
  <w:style w:type="paragraph" w:styleId="TableofFigures">
    <w:name w:val="table of figures"/>
    <w:basedOn w:val="Normal"/>
    <w:next w:val="Normal"/>
    <w:semiHidden/>
    <w:rsid w:val="00A0722A"/>
    <w:pPr>
      <w:ind w:left="480" w:hanging="480"/>
    </w:pPr>
  </w:style>
  <w:style w:type="paragraph" w:styleId="TOAHeading">
    <w:name w:val="toa heading"/>
    <w:basedOn w:val="Normal"/>
    <w:next w:val="Normal"/>
    <w:semiHidden/>
    <w:rsid w:val="00A0722A"/>
    <w:pPr>
      <w:spacing w:before="120"/>
    </w:pPr>
    <w:rPr>
      <w:rFonts w:ascii="Arial" w:hAnsi="Arial"/>
      <w:b/>
    </w:rPr>
  </w:style>
  <w:style w:type="paragraph" w:styleId="TOC1">
    <w:name w:val="toc 1"/>
    <w:basedOn w:val="Normal"/>
    <w:uiPriority w:val="39"/>
    <w:rsid w:val="006D14CD"/>
    <w:pPr>
      <w:tabs>
        <w:tab w:val="right" w:leader="dot" w:pos="9360"/>
      </w:tabs>
      <w:spacing w:after="120"/>
      <w:ind w:left="720" w:right="907" w:hanging="720"/>
    </w:pPr>
  </w:style>
  <w:style w:type="paragraph" w:styleId="TOC2">
    <w:name w:val="toc 2"/>
    <w:basedOn w:val="TOC1"/>
    <w:semiHidden/>
    <w:rsid w:val="00A0722A"/>
  </w:style>
  <w:style w:type="paragraph" w:styleId="TOC3">
    <w:name w:val="toc 3"/>
    <w:basedOn w:val="TOC1"/>
    <w:semiHidden/>
    <w:rsid w:val="00A0722A"/>
  </w:style>
  <w:style w:type="paragraph" w:styleId="TOC4">
    <w:name w:val="toc 4"/>
    <w:basedOn w:val="TOC1"/>
    <w:semiHidden/>
    <w:rsid w:val="00A0722A"/>
  </w:style>
  <w:style w:type="paragraph" w:styleId="TOC5">
    <w:name w:val="toc 5"/>
    <w:basedOn w:val="TOC1"/>
    <w:semiHidden/>
    <w:rsid w:val="00A0722A"/>
  </w:style>
  <w:style w:type="paragraph" w:styleId="TOC6">
    <w:name w:val="toc 6"/>
    <w:basedOn w:val="TOC1"/>
    <w:semiHidden/>
    <w:rsid w:val="00A0722A"/>
  </w:style>
  <w:style w:type="paragraph" w:styleId="TOC7">
    <w:name w:val="toc 7"/>
    <w:basedOn w:val="TOC1"/>
    <w:semiHidden/>
    <w:rsid w:val="00A0722A"/>
  </w:style>
  <w:style w:type="paragraph" w:styleId="TOC8">
    <w:name w:val="toc 8"/>
    <w:basedOn w:val="TOC1"/>
    <w:semiHidden/>
    <w:rsid w:val="00A0722A"/>
  </w:style>
  <w:style w:type="paragraph" w:styleId="TOC9">
    <w:name w:val="toc 9"/>
    <w:basedOn w:val="TOC1"/>
    <w:semiHidden/>
    <w:rsid w:val="00A0722A"/>
  </w:style>
  <w:style w:type="paragraph" w:styleId="TOCHeading">
    <w:name w:val="TOC Heading"/>
    <w:basedOn w:val="Heading1"/>
    <w:next w:val="Normal"/>
    <w:uiPriority w:val="39"/>
    <w:semiHidden/>
    <w:unhideWhenUsed/>
    <w:qFormat/>
    <w:rsid w:val="006D14CD"/>
    <w:pPr>
      <w:keepLines/>
      <w:numPr>
        <w:numId w:val="0"/>
      </w:numPr>
      <w:spacing w:before="480" w:after="0"/>
      <w:outlineLvl w:val="9"/>
    </w:pPr>
    <w:rPr>
      <w:rFonts w:asciiTheme="majorHAnsi" w:eastAsiaTheme="majorEastAsia" w:hAnsiTheme="majorHAnsi" w:cstheme="majorBidi"/>
      <w:b/>
      <w:bCs/>
      <w:color w:val="365F91" w:themeColor="accent1" w:themeShade="BF"/>
      <w:sz w:val="28"/>
      <w:szCs w:val="28"/>
      <w:u w:val="none"/>
    </w:rPr>
  </w:style>
  <w:style w:type="paragraph" w:styleId="BalloonText">
    <w:name w:val="Balloon Text"/>
    <w:basedOn w:val="Normal"/>
    <w:link w:val="BalloonTextChar"/>
    <w:uiPriority w:val="99"/>
    <w:semiHidden/>
    <w:unhideWhenUsed/>
    <w:rsid w:val="007F78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84A"/>
    <w:rPr>
      <w:rFonts w:ascii="Segoe UI" w:hAnsi="Segoe UI" w:cs="Segoe UI"/>
      <w:sz w:val="18"/>
      <w:szCs w:val="18"/>
    </w:rPr>
  </w:style>
  <w:style w:type="paragraph" w:styleId="Revision">
    <w:name w:val="Revision"/>
    <w:hidden/>
    <w:uiPriority w:val="99"/>
    <w:semiHidden/>
    <w:rsid w:val="00ED1BD7"/>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941D41"/>
    <w:rPr>
      <w:b/>
      <w:bCs/>
    </w:rPr>
  </w:style>
  <w:style w:type="character" w:customStyle="1" w:styleId="CommentSubjectChar">
    <w:name w:val="Comment Subject Char"/>
    <w:basedOn w:val="CommentTextChar"/>
    <w:link w:val="CommentSubject"/>
    <w:uiPriority w:val="99"/>
    <w:semiHidden/>
    <w:rsid w:val="00941D41"/>
    <w:rPr>
      <w:rFonts w:ascii="Times New Roman" w:hAnsi="Times New Roman"/>
      <w:b/>
      <w:bCs/>
    </w:rPr>
  </w:style>
  <w:style w:type="paragraph" w:customStyle="1" w:styleId="pf0">
    <w:name w:val="pf0"/>
    <w:basedOn w:val="Normal"/>
    <w:rsid w:val="006A1B18"/>
    <w:pPr>
      <w:spacing w:before="100" w:beforeAutospacing="1" w:after="100" w:afterAutospacing="1"/>
    </w:pPr>
    <w:rPr>
      <w:szCs w:val="24"/>
    </w:rPr>
  </w:style>
  <w:style w:type="character" w:customStyle="1" w:styleId="cf01">
    <w:name w:val="cf01"/>
    <w:basedOn w:val="DefaultParagraphFont"/>
    <w:rsid w:val="006A1B18"/>
    <w:rPr>
      <w:rFonts w:ascii="Segoe UI" w:hAnsi="Segoe UI" w:cs="Segoe UI" w:hint="default"/>
      <w:b/>
      <w:bCs/>
      <w:sz w:val="18"/>
      <w:szCs w:val="18"/>
    </w:rPr>
  </w:style>
  <w:style w:type="character" w:customStyle="1" w:styleId="cf11">
    <w:name w:val="cf11"/>
    <w:basedOn w:val="DefaultParagraphFont"/>
    <w:rsid w:val="006A1B18"/>
    <w:rPr>
      <w:rFonts w:ascii="Segoe UI" w:hAnsi="Segoe UI" w:cs="Segoe UI" w:hint="default"/>
      <w:sz w:val="18"/>
      <w:szCs w:val="18"/>
    </w:rPr>
  </w:style>
  <w:style w:type="character" w:customStyle="1" w:styleId="cf21">
    <w:name w:val="cf21"/>
    <w:basedOn w:val="DefaultParagraphFont"/>
    <w:rsid w:val="006A1B1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8171">
      <w:bodyDiv w:val="1"/>
      <w:marLeft w:val="0"/>
      <w:marRight w:val="0"/>
      <w:marTop w:val="0"/>
      <w:marBottom w:val="0"/>
      <w:divBdr>
        <w:top w:val="none" w:sz="0" w:space="0" w:color="auto"/>
        <w:left w:val="none" w:sz="0" w:space="0" w:color="auto"/>
        <w:bottom w:val="none" w:sz="0" w:space="0" w:color="auto"/>
        <w:right w:val="none" w:sz="0" w:space="0" w:color="auto"/>
      </w:divBdr>
    </w:div>
    <w:div w:id="438725218">
      <w:bodyDiv w:val="1"/>
      <w:marLeft w:val="0"/>
      <w:marRight w:val="0"/>
      <w:marTop w:val="0"/>
      <w:marBottom w:val="0"/>
      <w:divBdr>
        <w:top w:val="none" w:sz="0" w:space="0" w:color="auto"/>
        <w:left w:val="none" w:sz="0" w:space="0" w:color="auto"/>
        <w:bottom w:val="none" w:sz="0" w:space="0" w:color="auto"/>
        <w:right w:val="none" w:sz="0" w:space="0" w:color="auto"/>
      </w:divBdr>
      <w:divsChild>
        <w:div w:id="784424073">
          <w:marLeft w:val="0"/>
          <w:marRight w:val="0"/>
          <w:marTop w:val="0"/>
          <w:marBottom w:val="0"/>
          <w:divBdr>
            <w:top w:val="none" w:sz="0" w:space="0" w:color="auto"/>
            <w:left w:val="none" w:sz="0" w:space="0" w:color="auto"/>
            <w:bottom w:val="none" w:sz="0" w:space="0" w:color="auto"/>
            <w:right w:val="none" w:sz="0" w:space="0" w:color="auto"/>
          </w:divBdr>
          <w:divsChild>
            <w:div w:id="4686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0102">
      <w:bodyDiv w:val="1"/>
      <w:marLeft w:val="0"/>
      <w:marRight w:val="0"/>
      <w:marTop w:val="0"/>
      <w:marBottom w:val="0"/>
      <w:divBdr>
        <w:top w:val="none" w:sz="0" w:space="0" w:color="auto"/>
        <w:left w:val="none" w:sz="0" w:space="0" w:color="auto"/>
        <w:bottom w:val="none" w:sz="0" w:space="0" w:color="auto"/>
        <w:right w:val="none" w:sz="0" w:space="0" w:color="auto"/>
      </w:divBdr>
    </w:div>
    <w:div w:id="713819077">
      <w:bodyDiv w:val="1"/>
      <w:marLeft w:val="0"/>
      <w:marRight w:val="0"/>
      <w:marTop w:val="0"/>
      <w:marBottom w:val="0"/>
      <w:divBdr>
        <w:top w:val="none" w:sz="0" w:space="0" w:color="auto"/>
        <w:left w:val="none" w:sz="0" w:space="0" w:color="auto"/>
        <w:bottom w:val="none" w:sz="0" w:space="0" w:color="auto"/>
        <w:right w:val="none" w:sz="0" w:space="0" w:color="auto"/>
      </w:divBdr>
    </w:div>
    <w:div w:id="1146509874">
      <w:bodyDiv w:val="1"/>
      <w:marLeft w:val="0"/>
      <w:marRight w:val="0"/>
      <w:marTop w:val="0"/>
      <w:marBottom w:val="0"/>
      <w:divBdr>
        <w:top w:val="none" w:sz="0" w:space="0" w:color="auto"/>
        <w:left w:val="none" w:sz="0" w:space="0" w:color="auto"/>
        <w:bottom w:val="none" w:sz="0" w:space="0" w:color="auto"/>
        <w:right w:val="none" w:sz="0" w:space="0" w:color="auto"/>
      </w:divBdr>
    </w:div>
    <w:div w:id="17270283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Corporate\Corporate%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12393-7CD8-4418-B086-2ACCEA3A2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Corporate Agreement.dotm</Template>
  <TotalTime>1</TotalTime>
  <Pages>14</Pages>
  <Words>4938</Words>
  <Characters>28148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Varex Imaging Corporation Corporate Governance Guidelines</vt:lpstr>
    </vt:vector>
  </TitlesOfParts>
  <Company>Wachtell, Lipton, Rosen &amp; Katz</Company>
  <LinksUpToDate>false</LinksUpToDate>
  <CharactersWithSpaces>33020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Varex Imaging Corporation Corporate Governance Guidelines</dc:title>
  <dc:creator>Kim Honeysett</dc:creator>
  <cp:lastModifiedBy>Kim Honeysett</cp:lastModifiedBy>
  <cp:revision>2</cp:revision>
  <cp:lastPrinted>2022-07-26T21:26:00Z</cp:lastPrinted>
  <dcterms:created xsi:type="dcterms:W3CDTF">2024-09-03T18:07:00Z</dcterms:created>
  <dcterms:modified xsi:type="dcterms:W3CDTF">2024-09-03T18:07:00Z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W/2824416v1</vt:lpwstr>
  </property>
</Properties>
</file>